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Default="00D5547E" w:rsidP="2ABE2D08">
      <w:pPr>
        <w:jc w:val="both"/>
      </w:pPr>
    </w:p>
    <w:tbl>
      <w:tblPr>
        <w:tblW w:w="0" w:type="auto"/>
        <w:tblInd w:w="108" w:type="dxa"/>
        <w:tblLayout w:type="fixed"/>
        <w:tblLook w:val="04A0" w:firstRow="1" w:lastRow="0" w:firstColumn="1" w:lastColumn="0" w:noHBand="0" w:noVBand="1"/>
      </w:tblPr>
      <w:tblGrid>
        <w:gridCol w:w="2438"/>
        <w:gridCol w:w="6406"/>
      </w:tblGrid>
      <w:tr w:rsidR="008F2F53" w:rsidRPr="00975B07" w14:paraId="1372539E" w14:textId="77777777" w:rsidTr="2ABE2D08">
        <w:tc>
          <w:tcPr>
            <w:tcW w:w="2438" w:type="dxa"/>
          </w:tcPr>
          <w:p w14:paraId="3A41DF9B" w14:textId="77777777" w:rsidR="008F2F53" w:rsidRPr="00975B07" w:rsidRDefault="5A232727" w:rsidP="2ABE2D08">
            <w:pPr>
              <w:jc w:val="both"/>
              <w:rPr>
                <w:rStyle w:val="Firstpagetablebold"/>
              </w:rPr>
            </w:pPr>
            <w:r w:rsidRPr="2ABE2D08">
              <w:rPr>
                <w:rStyle w:val="Firstpagetablebold"/>
              </w:rPr>
              <w:t>To:</w:t>
            </w:r>
          </w:p>
        </w:tc>
        <w:tc>
          <w:tcPr>
            <w:tcW w:w="6406" w:type="dxa"/>
          </w:tcPr>
          <w:p w14:paraId="0C2C1D72" w14:textId="77777777" w:rsidR="008F2F53" w:rsidRPr="00F95BC9" w:rsidRDefault="5A232727" w:rsidP="2ABE2D08">
            <w:pPr>
              <w:jc w:val="both"/>
              <w:rPr>
                <w:rStyle w:val="Firstpagetablebold"/>
              </w:rPr>
            </w:pPr>
            <w:r w:rsidRPr="2ABE2D08">
              <w:rPr>
                <w:rStyle w:val="Firstpagetablebold"/>
              </w:rPr>
              <w:t>Cabinet</w:t>
            </w:r>
          </w:p>
        </w:tc>
      </w:tr>
      <w:tr w:rsidR="008F2F53" w:rsidRPr="00975B07" w14:paraId="022A29B9" w14:textId="77777777" w:rsidTr="2ABE2D08">
        <w:tc>
          <w:tcPr>
            <w:tcW w:w="2438" w:type="dxa"/>
          </w:tcPr>
          <w:p w14:paraId="23FE8687" w14:textId="77777777" w:rsidR="008F2F53" w:rsidRPr="00975B07" w:rsidRDefault="5A232727" w:rsidP="2ABE2D08">
            <w:pPr>
              <w:jc w:val="both"/>
              <w:rPr>
                <w:rStyle w:val="Firstpagetablebold"/>
              </w:rPr>
            </w:pPr>
            <w:r w:rsidRPr="2ABE2D08">
              <w:rPr>
                <w:rStyle w:val="Firstpagetablebold"/>
              </w:rPr>
              <w:t>Date:</w:t>
            </w:r>
          </w:p>
        </w:tc>
        <w:tc>
          <w:tcPr>
            <w:tcW w:w="6406" w:type="dxa"/>
          </w:tcPr>
          <w:p w14:paraId="767BB05F" w14:textId="219E9B1E" w:rsidR="008F2F53" w:rsidRPr="009C7DAA" w:rsidRDefault="5A232727" w:rsidP="2ABE2D08">
            <w:pPr>
              <w:jc w:val="both"/>
              <w:rPr>
                <w:rStyle w:val="Firstpagetablebold"/>
                <w:rFonts w:cs="Arial"/>
                <w:b w:val="0"/>
                <w:color w:val="auto"/>
              </w:rPr>
            </w:pPr>
            <w:r w:rsidRPr="2ABE2D08">
              <w:rPr>
                <w:rStyle w:val="Firstpagetablebold"/>
                <w:rFonts w:cs="Arial"/>
                <w:b w:val="0"/>
                <w:color w:val="auto"/>
              </w:rPr>
              <w:t>22 October 2025</w:t>
            </w:r>
          </w:p>
        </w:tc>
      </w:tr>
      <w:tr w:rsidR="008F2F53" w:rsidRPr="00975B07" w14:paraId="2D1E0BF5" w14:textId="77777777" w:rsidTr="2ABE2D08">
        <w:tc>
          <w:tcPr>
            <w:tcW w:w="2438" w:type="dxa"/>
          </w:tcPr>
          <w:p w14:paraId="268F3F67" w14:textId="77777777" w:rsidR="008F2F53" w:rsidRPr="00975B07" w:rsidRDefault="5A232727" w:rsidP="2ABE2D08">
            <w:pPr>
              <w:jc w:val="both"/>
              <w:rPr>
                <w:rStyle w:val="Firstpagetablebold"/>
              </w:rPr>
            </w:pPr>
            <w:r w:rsidRPr="2ABE2D08">
              <w:rPr>
                <w:rStyle w:val="Firstpagetablebold"/>
              </w:rPr>
              <w:t>Report of:</w:t>
            </w:r>
          </w:p>
        </w:tc>
        <w:tc>
          <w:tcPr>
            <w:tcW w:w="6406" w:type="dxa"/>
          </w:tcPr>
          <w:p w14:paraId="608017CD" w14:textId="77777777" w:rsidR="008F2F53" w:rsidRPr="009C7DAA" w:rsidRDefault="5A232727" w:rsidP="2ABE2D08">
            <w:pPr>
              <w:jc w:val="both"/>
              <w:rPr>
                <w:rStyle w:val="Firstpagetablebold"/>
                <w:rFonts w:cs="Arial"/>
                <w:b w:val="0"/>
                <w:color w:val="auto"/>
              </w:rPr>
            </w:pPr>
            <w:r w:rsidRPr="2ABE2D08">
              <w:rPr>
                <w:rStyle w:val="Firstpagetablebold"/>
                <w:rFonts w:cs="Arial"/>
                <w:b w:val="0"/>
                <w:color w:val="auto"/>
              </w:rPr>
              <w:t>Clive Tritton, Director of Economy, Regeneration and Sustainability</w:t>
            </w:r>
          </w:p>
        </w:tc>
      </w:tr>
      <w:tr w:rsidR="008F2F53" w:rsidRPr="00975B07" w14:paraId="3705813F" w14:textId="77777777" w:rsidTr="2ABE2D08">
        <w:tc>
          <w:tcPr>
            <w:tcW w:w="2438" w:type="dxa"/>
          </w:tcPr>
          <w:p w14:paraId="74BD92D6" w14:textId="77777777" w:rsidR="008F2F53" w:rsidRPr="00975B07" w:rsidRDefault="5A232727" w:rsidP="2ABE2D08">
            <w:pPr>
              <w:jc w:val="both"/>
              <w:rPr>
                <w:rStyle w:val="Firstpagetablebold"/>
              </w:rPr>
            </w:pPr>
            <w:r w:rsidRPr="2ABE2D08">
              <w:rPr>
                <w:rStyle w:val="Firstpagetablebold"/>
              </w:rPr>
              <w:t xml:space="preserve">Title of Report: </w:t>
            </w:r>
          </w:p>
        </w:tc>
        <w:tc>
          <w:tcPr>
            <w:tcW w:w="6406" w:type="dxa"/>
          </w:tcPr>
          <w:p w14:paraId="27B71DF8" w14:textId="30A05B15" w:rsidR="008F2F53" w:rsidRPr="009C7DAA" w:rsidRDefault="5A232727" w:rsidP="2ABE2D08">
            <w:pPr>
              <w:jc w:val="both"/>
              <w:rPr>
                <w:rStyle w:val="Firstpagetablebold"/>
                <w:rFonts w:cs="Arial"/>
                <w:b w:val="0"/>
                <w:color w:val="auto"/>
              </w:rPr>
            </w:pPr>
            <w:r w:rsidRPr="2ABE2D08">
              <w:rPr>
                <w:rStyle w:val="Firstpagetablebold"/>
                <w:rFonts w:cs="Arial"/>
                <w:b w:val="0"/>
                <w:color w:val="auto"/>
              </w:rPr>
              <w:t>Project approvals and delegations for the Westlands Drive/ Halliday Hill affordable housing development</w:t>
            </w:r>
          </w:p>
        </w:tc>
      </w:tr>
    </w:tbl>
    <w:p w14:paraId="693C12AB" w14:textId="77777777" w:rsidR="008F2F53" w:rsidRDefault="008F2F53" w:rsidP="2ABE2D08">
      <w:pPr>
        <w:jc w:val="both"/>
      </w:pPr>
    </w:p>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15"/>
        <w:gridCol w:w="7355"/>
      </w:tblGrid>
      <w:tr w:rsidR="008F2F53" w14:paraId="19DFD4A4" w14:textId="77777777" w:rsidTr="2ABE2D08">
        <w:tc>
          <w:tcPr>
            <w:tcW w:w="9170" w:type="dxa"/>
            <w:gridSpan w:val="2"/>
            <w:tcBorders>
              <w:bottom w:val="single" w:sz="8" w:space="0" w:color="000000" w:themeColor="text1"/>
            </w:tcBorders>
            <w:hideMark/>
          </w:tcPr>
          <w:p w14:paraId="40A52095" w14:textId="77777777" w:rsidR="008F2F53" w:rsidRDefault="5A232727" w:rsidP="2ABE2D08">
            <w:pPr>
              <w:jc w:val="both"/>
              <w:rPr>
                <w:rStyle w:val="Firstpagetablebold"/>
              </w:rPr>
            </w:pPr>
            <w:r w:rsidRPr="2ABE2D08">
              <w:rPr>
                <w:rStyle w:val="Firstpagetablebold"/>
              </w:rPr>
              <w:t>Summary and recommendations</w:t>
            </w:r>
          </w:p>
        </w:tc>
      </w:tr>
      <w:tr w:rsidR="008F2F53" w14:paraId="3965E37E" w14:textId="77777777" w:rsidTr="2ABE2D08">
        <w:tc>
          <w:tcPr>
            <w:tcW w:w="1815" w:type="dxa"/>
            <w:tcBorders>
              <w:top w:val="single" w:sz="8" w:space="0" w:color="000000" w:themeColor="text1"/>
              <w:left w:val="single" w:sz="8" w:space="0" w:color="000000" w:themeColor="text1"/>
              <w:bottom w:val="nil"/>
              <w:right w:val="nil"/>
            </w:tcBorders>
            <w:hideMark/>
          </w:tcPr>
          <w:p w14:paraId="3AED4942" w14:textId="77777777" w:rsidR="008F2F53" w:rsidRDefault="5A232727" w:rsidP="2ABE2D08">
            <w:pPr>
              <w:jc w:val="both"/>
              <w:rPr>
                <w:rStyle w:val="Firstpagetablebold"/>
              </w:rPr>
            </w:pPr>
            <w:r w:rsidRPr="2ABE2D08">
              <w:rPr>
                <w:rStyle w:val="Firstpagetablebold"/>
              </w:rPr>
              <w:t>Decision being taken:</w:t>
            </w:r>
          </w:p>
        </w:tc>
        <w:tc>
          <w:tcPr>
            <w:tcW w:w="7355" w:type="dxa"/>
            <w:tcBorders>
              <w:top w:val="single" w:sz="8" w:space="0" w:color="000000" w:themeColor="text1"/>
              <w:left w:val="nil"/>
              <w:bottom w:val="nil"/>
              <w:right w:val="single" w:sz="8" w:space="0" w:color="000000" w:themeColor="text1"/>
            </w:tcBorders>
            <w:hideMark/>
          </w:tcPr>
          <w:p w14:paraId="3C202CDD" w14:textId="1F7B1E0C" w:rsidR="008F2F53" w:rsidRPr="009E30E2" w:rsidRDefault="5A232727" w:rsidP="2ABE2D08">
            <w:pPr>
              <w:rPr>
                <w:color w:val="auto"/>
              </w:rPr>
            </w:pPr>
            <w:r w:rsidRPr="2ABE2D08">
              <w:rPr>
                <w:color w:val="auto"/>
              </w:rPr>
              <w:t xml:space="preserve">This report seeks project approval and delegations to progress the development of affordable homes at </w:t>
            </w:r>
            <w:r w:rsidRPr="2ABE2D08">
              <w:rPr>
                <w:rStyle w:val="Firstpagetablebold"/>
                <w:rFonts w:cs="Arial"/>
                <w:b w:val="0"/>
                <w:color w:val="auto"/>
              </w:rPr>
              <w:t>Westlands Drive/ Halliday Hill</w:t>
            </w:r>
            <w:r w:rsidRPr="2ABE2D08">
              <w:rPr>
                <w:color w:val="auto"/>
              </w:rPr>
              <w:t xml:space="preserve">. This includes delegated authority to enter into build contracts and other necessary agreements and associated development costs, </w:t>
            </w:r>
            <w:r w:rsidR="6CF2D3E7" w:rsidRPr="2ABE2D08">
              <w:rPr>
                <w:color w:val="auto"/>
              </w:rPr>
              <w:t>a</w:t>
            </w:r>
            <w:r w:rsidR="6CF2D3E7">
              <w:t xml:space="preserve">nd the </w:t>
            </w:r>
            <w:r w:rsidRPr="2ABE2D08">
              <w:rPr>
                <w:color w:val="auto"/>
              </w:rPr>
              <w:t xml:space="preserve">virement of capital funds </w:t>
            </w:r>
            <w:r w:rsidR="66C9ACD4" w:rsidRPr="2ABE2D08">
              <w:rPr>
                <w:color w:val="auto"/>
              </w:rPr>
              <w:t>in the Housing Revenue Account (HRA)</w:t>
            </w:r>
          </w:p>
        </w:tc>
      </w:tr>
      <w:tr w:rsidR="008F2F53" w14:paraId="76167335" w14:textId="77777777" w:rsidTr="2ABE2D08">
        <w:tc>
          <w:tcPr>
            <w:tcW w:w="1815" w:type="dxa"/>
            <w:tcBorders>
              <w:top w:val="nil"/>
              <w:left w:val="single" w:sz="8" w:space="0" w:color="000000" w:themeColor="text1"/>
              <w:bottom w:val="nil"/>
              <w:right w:val="nil"/>
            </w:tcBorders>
            <w:hideMark/>
          </w:tcPr>
          <w:p w14:paraId="14D51E03" w14:textId="77777777" w:rsidR="008F2F53" w:rsidRDefault="5A232727" w:rsidP="2ABE2D08">
            <w:pPr>
              <w:jc w:val="both"/>
              <w:rPr>
                <w:rStyle w:val="Firstpagetablebold"/>
              </w:rPr>
            </w:pPr>
            <w:r w:rsidRPr="2ABE2D08">
              <w:rPr>
                <w:rStyle w:val="Firstpagetablebold"/>
              </w:rPr>
              <w:t>Key decision:</w:t>
            </w:r>
          </w:p>
        </w:tc>
        <w:tc>
          <w:tcPr>
            <w:tcW w:w="7355" w:type="dxa"/>
            <w:tcBorders>
              <w:top w:val="nil"/>
              <w:left w:val="nil"/>
              <w:bottom w:val="nil"/>
              <w:right w:val="single" w:sz="8" w:space="0" w:color="000000" w:themeColor="text1"/>
            </w:tcBorders>
            <w:hideMark/>
          </w:tcPr>
          <w:p w14:paraId="4EED0645" w14:textId="77777777" w:rsidR="008F2F53" w:rsidRPr="009E30E2" w:rsidRDefault="5A232727" w:rsidP="2ABE2D08">
            <w:r w:rsidRPr="2ABE2D08">
              <w:rPr>
                <w:rFonts w:cs="Arial"/>
                <w:color w:val="auto"/>
              </w:rPr>
              <w:t>Yes</w:t>
            </w:r>
          </w:p>
        </w:tc>
      </w:tr>
      <w:tr w:rsidR="008F2F53" w14:paraId="0C5188FF" w14:textId="77777777" w:rsidTr="2ABE2D08">
        <w:tc>
          <w:tcPr>
            <w:tcW w:w="1815" w:type="dxa"/>
            <w:tcBorders>
              <w:top w:val="nil"/>
              <w:left w:val="single" w:sz="8" w:space="0" w:color="000000" w:themeColor="text1"/>
              <w:bottom w:val="nil"/>
              <w:right w:val="nil"/>
            </w:tcBorders>
            <w:hideMark/>
          </w:tcPr>
          <w:p w14:paraId="564EB8E8" w14:textId="77777777" w:rsidR="008F2F53" w:rsidRDefault="5A232727" w:rsidP="2ABE2D08">
            <w:pPr>
              <w:jc w:val="both"/>
              <w:rPr>
                <w:rStyle w:val="Firstpagetablebold"/>
              </w:rPr>
            </w:pPr>
            <w:r w:rsidRPr="2ABE2D08">
              <w:rPr>
                <w:rStyle w:val="Firstpagetablebold"/>
              </w:rPr>
              <w:t>Cabinet Member:</w:t>
            </w:r>
          </w:p>
        </w:tc>
        <w:tc>
          <w:tcPr>
            <w:tcW w:w="7355" w:type="dxa"/>
            <w:tcBorders>
              <w:top w:val="nil"/>
              <w:left w:val="nil"/>
              <w:bottom w:val="nil"/>
              <w:right w:val="single" w:sz="8" w:space="0" w:color="000000" w:themeColor="text1"/>
            </w:tcBorders>
            <w:hideMark/>
          </w:tcPr>
          <w:p w14:paraId="35C61CF4" w14:textId="72AA21AE" w:rsidR="008F2F53" w:rsidRPr="009E30E2" w:rsidRDefault="5A232727" w:rsidP="2ABE2D08">
            <w:pPr>
              <w:rPr>
                <w:color w:val="auto"/>
              </w:rPr>
            </w:pPr>
            <w:r w:rsidRPr="2ABE2D08">
              <w:rPr>
                <w:color w:val="auto"/>
              </w:rPr>
              <w:t xml:space="preserve">Councillor Linda Smith, Cabinet Member for Housing </w:t>
            </w:r>
          </w:p>
        </w:tc>
      </w:tr>
      <w:tr w:rsidR="008F2F53" w14:paraId="4B0DDF81" w14:textId="77777777" w:rsidTr="2ABE2D08">
        <w:tc>
          <w:tcPr>
            <w:tcW w:w="1815" w:type="dxa"/>
            <w:tcBorders>
              <w:top w:val="nil"/>
              <w:left w:val="single" w:sz="8" w:space="0" w:color="000000" w:themeColor="text1"/>
              <w:bottom w:val="nil"/>
              <w:right w:val="nil"/>
            </w:tcBorders>
          </w:tcPr>
          <w:p w14:paraId="2F0155A3" w14:textId="77777777" w:rsidR="008F2F53" w:rsidRDefault="5A232727" w:rsidP="2ABE2D08">
            <w:pPr>
              <w:jc w:val="both"/>
              <w:rPr>
                <w:rStyle w:val="Firstpagetablebold"/>
              </w:rPr>
            </w:pPr>
            <w:r w:rsidRPr="2ABE2D08">
              <w:rPr>
                <w:rStyle w:val="Firstpagetablebold"/>
              </w:rPr>
              <w:t>Corporate Priority:</w:t>
            </w:r>
          </w:p>
        </w:tc>
        <w:tc>
          <w:tcPr>
            <w:tcW w:w="7355" w:type="dxa"/>
            <w:tcBorders>
              <w:top w:val="nil"/>
              <w:left w:val="nil"/>
              <w:bottom w:val="nil"/>
              <w:right w:val="single" w:sz="8" w:space="0" w:color="000000" w:themeColor="text1"/>
            </w:tcBorders>
          </w:tcPr>
          <w:p w14:paraId="613F0E21" w14:textId="77777777" w:rsidR="008F2F53" w:rsidRPr="009E30E2" w:rsidRDefault="5A232727" w:rsidP="2ABE2D08">
            <w:pPr>
              <w:rPr>
                <w:color w:val="auto"/>
              </w:rPr>
            </w:pPr>
            <w:r w:rsidRPr="2ABE2D08">
              <w:rPr>
                <w:color w:val="auto"/>
              </w:rPr>
              <w:t>More Affordable Housing</w:t>
            </w:r>
          </w:p>
        </w:tc>
      </w:tr>
      <w:tr w:rsidR="008F2F53" w14:paraId="515E8E9B" w14:textId="77777777" w:rsidTr="2ABE2D08">
        <w:tc>
          <w:tcPr>
            <w:tcW w:w="1815" w:type="dxa"/>
            <w:tcBorders>
              <w:top w:val="nil"/>
              <w:left w:val="single" w:sz="8" w:space="0" w:color="000000" w:themeColor="text1"/>
              <w:bottom w:val="single" w:sz="4" w:space="0" w:color="auto"/>
              <w:right w:val="nil"/>
            </w:tcBorders>
            <w:hideMark/>
          </w:tcPr>
          <w:p w14:paraId="6E4437B2" w14:textId="77777777" w:rsidR="008F2F53" w:rsidRDefault="5A232727" w:rsidP="2ABE2D08">
            <w:pPr>
              <w:jc w:val="both"/>
              <w:rPr>
                <w:rStyle w:val="Firstpagetablebold"/>
              </w:rPr>
            </w:pPr>
            <w:r w:rsidRPr="2ABE2D08">
              <w:rPr>
                <w:rStyle w:val="Firstpagetablebold"/>
              </w:rPr>
              <w:t>Policy Framework:</w:t>
            </w:r>
          </w:p>
        </w:tc>
        <w:tc>
          <w:tcPr>
            <w:tcW w:w="7355" w:type="dxa"/>
            <w:tcBorders>
              <w:top w:val="nil"/>
              <w:left w:val="nil"/>
              <w:bottom w:val="single" w:sz="4" w:space="0" w:color="auto"/>
              <w:right w:val="single" w:sz="8" w:space="0" w:color="000000" w:themeColor="text1"/>
            </w:tcBorders>
            <w:hideMark/>
          </w:tcPr>
          <w:p w14:paraId="4A198DB7" w14:textId="77777777" w:rsidR="008F2F53" w:rsidRPr="009E30E2" w:rsidRDefault="5A232727" w:rsidP="2ABE2D08">
            <w:pPr>
              <w:rPr>
                <w:color w:val="auto"/>
              </w:rPr>
            </w:pPr>
            <w:r w:rsidRPr="2ABE2D08">
              <w:rPr>
                <w:color w:val="auto"/>
              </w:rPr>
              <w:t>Housing and Homelessness Strategy 2023 to 2028</w:t>
            </w:r>
          </w:p>
        </w:tc>
      </w:tr>
    </w:tbl>
    <w:p w14:paraId="3391A414" w14:textId="77777777" w:rsidR="008F2F53" w:rsidRDefault="008F2F53" w:rsidP="2ABE2D08">
      <w:pPr>
        <w:jc w:val="both"/>
      </w:pPr>
    </w:p>
    <w:tbl>
      <w:tblPr>
        <w:tblW w:w="9171"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1"/>
      </w:tblGrid>
      <w:tr w:rsidR="008F2F53" w:rsidRPr="00975B07" w14:paraId="29E3B191" w14:textId="77777777" w:rsidTr="2ABE2D08">
        <w:trPr>
          <w:trHeight w:val="413"/>
        </w:trPr>
        <w:tc>
          <w:tcPr>
            <w:tcW w:w="9171" w:type="dxa"/>
          </w:tcPr>
          <w:p w14:paraId="75506FF3" w14:textId="77777777" w:rsidR="008F2F53" w:rsidRPr="00975B07" w:rsidRDefault="5A232727" w:rsidP="2ABE2D08">
            <w:pPr>
              <w:jc w:val="both"/>
            </w:pPr>
            <w:r w:rsidRPr="2ABE2D08">
              <w:rPr>
                <w:rStyle w:val="Firstpagetablebold"/>
              </w:rPr>
              <w:t xml:space="preserve">Recommendation(s): </w:t>
            </w:r>
            <w:r w:rsidRPr="2ABE2D08">
              <w:rPr>
                <w:rStyle w:val="Firstpagetablebold"/>
                <w:b w:val="0"/>
              </w:rPr>
              <w:t>That Cabinet resolves to:</w:t>
            </w:r>
          </w:p>
        </w:tc>
      </w:tr>
      <w:tr w:rsidR="008F2F53" w14:paraId="4B78B972" w14:textId="77777777" w:rsidTr="2ABE2D08">
        <w:trPr>
          <w:trHeight w:val="720"/>
        </w:trPr>
        <w:tc>
          <w:tcPr>
            <w:tcW w:w="9171" w:type="dxa"/>
          </w:tcPr>
          <w:p w14:paraId="1F1FDDEC" w14:textId="59020F97" w:rsidR="008F2F53" w:rsidRPr="009C7DAA" w:rsidRDefault="5A232727" w:rsidP="2ABE2D08">
            <w:pPr>
              <w:pStyle w:val="ListParagraph"/>
              <w:rPr>
                <w:rFonts w:eastAsia="Arial" w:cs="Arial"/>
                <w:color w:val="000000" w:themeColor="text1"/>
              </w:rPr>
            </w:pPr>
            <w:r w:rsidRPr="2ABE2D08">
              <w:rPr>
                <w:rFonts w:eastAsia="Arial" w:cs="Arial"/>
                <w:b/>
                <w:bCs/>
              </w:rPr>
              <w:t>Grant project approval</w:t>
            </w:r>
            <w:r>
              <w:t xml:space="preserve"> </w:t>
            </w:r>
            <w:r w:rsidRPr="2ABE2D08">
              <w:rPr>
                <w:rFonts w:eastAsia="Arial" w:cs="Arial"/>
                <w:color w:val="000000" w:themeColor="text1"/>
              </w:rPr>
              <w:t xml:space="preserve">to finalise </w:t>
            </w:r>
            <w:r w:rsidR="6CF2D3E7" w:rsidRPr="2ABE2D08">
              <w:rPr>
                <w:rFonts w:eastAsia="Arial" w:cs="Arial"/>
                <w:color w:val="000000" w:themeColor="text1"/>
              </w:rPr>
              <w:t xml:space="preserve">agreement </w:t>
            </w:r>
            <w:r w:rsidRPr="2ABE2D08">
              <w:rPr>
                <w:rFonts w:eastAsia="Arial" w:cs="Arial"/>
                <w:color w:val="000000" w:themeColor="text1"/>
              </w:rPr>
              <w:t xml:space="preserve">to enter into build contracts and any other necessary agreements or contracts and incur associated development cost spends, as set out in this report, and within the allocated HRA capital budgets and business plan, for the purpose of delivering more affordable housing in </w:t>
            </w:r>
            <w:proofErr w:type="gramStart"/>
            <w:r w:rsidRPr="2ABE2D08">
              <w:rPr>
                <w:rFonts w:eastAsia="Arial" w:cs="Arial"/>
                <w:color w:val="000000" w:themeColor="text1"/>
              </w:rPr>
              <w:t>Oxford;</w:t>
            </w:r>
            <w:proofErr w:type="gramEnd"/>
          </w:p>
          <w:p w14:paraId="24915CD6" w14:textId="77777777" w:rsidR="008F2F53" w:rsidRPr="009C7DAA" w:rsidRDefault="5A232727" w:rsidP="2ABE2D08">
            <w:pPr>
              <w:pStyle w:val="ListParagraph"/>
              <w:rPr>
                <w:rFonts w:eastAsia="Arial" w:cs="Arial"/>
              </w:rPr>
            </w:pPr>
            <w:r w:rsidRPr="2ABE2D08">
              <w:rPr>
                <w:rFonts w:eastAsia="Arial" w:cs="Arial"/>
                <w:b/>
                <w:bCs/>
                <w:color w:val="000000" w:themeColor="text1"/>
              </w:rPr>
              <w:t xml:space="preserve">Delegate authority to the Director of Housing, </w:t>
            </w:r>
            <w:r w:rsidRPr="2ABE2D08">
              <w:rPr>
                <w:rFonts w:eastAsia="Arial" w:cs="Arial"/>
              </w:rPr>
              <w:t>in consultation with the Cabinet Member for Affordable Housing; the Head of Financial Services/Section 151 Officer; and the Council’s Monitoring Officer,</w:t>
            </w:r>
            <w:r w:rsidRPr="2ABE2D08">
              <w:rPr>
                <w:rFonts w:eastAsia="Arial" w:cs="Arial"/>
                <w:b/>
                <w:bCs/>
              </w:rPr>
              <w:t xml:space="preserve"> </w:t>
            </w:r>
            <w:r w:rsidRPr="2ABE2D08">
              <w:rPr>
                <w:rFonts w:eastAsia="Arial" w:cs="Arial"/>
              </w:rPr>
              <w:t xml:space="preserve">to enter into build contracts and any other necessary agreements or contracts to facilitate the development within the identified budget, for the provision of additional affordable </w:t>
            </w:r>
            <w:proofErr w:type="gramStart"/>
            <w:r w:rsidRPr="2ABE2D08">
              <w:rPr>
                <w:rFonts w:eastAsia="Arial" w:cs="Arial"/>
              </w:rPr>
              <w:t>housing;</w:t>
            </w:r>
            <w:proofErr w:type="gramEnd"/>
            <w:r w:rsidRPr="2ABE2D08">
              <w:rPr>
                <w:rFonts w:eastAsia="Arial" w:cs="Arial"/>
              </w:rPr>
              <w:t xml:space="preserve"> </w:t>
            </w:r>
          </w:p>
          <w:p w14:paraId="77A336C2" w14:textId="2E9E4E9A" w:rsidR="008F2F53" w:rsidRPr="009C7DAA" w:rsidRDefault="5A232727" w:rsidP="2ABE2D08">
            <w:pPr>
              <w:pStyle w:val="ListParagraph"/>
              <w:rPr>
                <w:rFonts w:eastAsia="Arial" w:cs="Arial"/>
                <w:color w:val="000000" w:themeColor="text1"/>
              </w:rPr>
            </w:pPr>
            <w:r w:rsidRPr="009C7DAA">
              <w:rPr>
                <w:rFonts w:eastAsia="Arial" w:cs="Arial"/>
                <w:b/>
                <w:bCs/>
                <w:color w:val="000000" w:themeColor="text1"/>
              </w:rPr>
              <w:t>Grant approval</w:t>
            </w:r>
            <w:r w:rsidRPr="009C7DAA">
              <w:rPr>
                <w:rFonts w:eastAsia="Arial" w:cs="Arial"/>
                <w:color w:val="000000" w:themeColor="text1"/>
              </w:rPr>
              <w:t xml:space="preserve"> for a virement within the HRA capital budget for scheme costs of £</w:t>
            </w:r>
            <w:r w:rsidR="6CF2D3E7">
              <w:rPr>
                <w:rFonts w:eastAsia="Arial" w:cs="Arial"/>
                <w:color w:val="000000" w:themeColor="text1"/>
              </w:rPr>
              <w:t>5</w:t>
            </w:r>
            <w:r w:rsidR="129122DB">
              <w:rPr>
                <w:rFonts w:eastAsia="Arial" w:cs="Arial"/>
                <w:color w:val="000000" w:themeColor="text1"/>
              </w:rPr>
              <w:t>,693,000</w:t>
            </w:r>
            <w:r w:rsidRPr="009C7DAA">
              <w:rPr>
                <w:rFonts w:eastAsia="Arial" w:cs="Arial"/>
                <w:color w:val="000000" w:themeColor="text1"/>
              </w:rPr>
              <w:t xml:space="preserve">. The virement will be from the </w:t>
            </w:r>
            <w:r w:rsidRPr="009C7DAA">
              <w:rPr>
                <w:rStyle w:val="normaltextrun"/>
                <w:rFonts w:cs="Arial"/>
                <w:shd w:val="clear" w:color="auto" w:fill="FFFFFF"/>
              </w:rPr>
              <w:t>“Properties purchased from OCHL”</w:t>
            </w:r>
            <w:r w:rsidRPr="009C7DAA">
              <w:rPr>
                <w:rFonts w:eastAsia="Arial" w:cs="Arial"/>
                <w:color w:val="000000" w:themeColor="text1"/>
              </w:rPr>
              <w:t xml:space="preserve"> (Oxford City Housing Limited) purchase line into a new scheme line to be </w:t>
            </w:r>
            <w:r w:rsidRPr="009C7DAA">
              <w:rPr>
                <w:rFonts w:eastAsia="Arial" w:cs="Arial"/>
                <w:color w:val="000000" w:themeColor="text1"/>
              </w:rPr>
              <w:lastRenderedPageBreak/>
              <w:t>profiled to match the build programme across the four years from 2025/26 to 2028/29;</w:t>
            </w:r>
          </w:p>
        </w:tc>
      </w:tr>
    </w:tbl>
    <w:p w14:paraId="6BC43E03" w14:textId="77777777" w:rsidR="008F2F53" w:rsidRDefault="008F2F53" w:rsidP="2ABE2D08">
      <w:pPr>
        <w:jc w:val="both"/>
      </w:pPr>
    </w:p>
    <w:tbl>
      <w:tblPr>
        <w:tblW w:w="0" w:type="auto"/>
        <w:tblInd w:w="105" w:type="dxa"/>
        <w:tblLayout w:type="fixed"/>
        <w:tblLook w:val="04A0" w:firstRow="1" w:lastRow="0" w:firstColumn="1" w:lastColumn="0" w:noHBand="0" w:noVBand="1"/>
      </w:tblPr>
      <w:tblGrid>
        <w:gridCol w:w="1912"/>
        <w:gridCol w:w="2803"/>
        <w:gridCol w:w="4455"/>
      </w:tblGrid>
      <w:tr w:rsidR="008F2F53" w14:paraId="447730EF" w14:textId="77777777" w:rsidTr="2ABE2D08">
        <w:trPr>
          <w:trHeight w:val="300"/>
        </w:trPr>
        <w:tc>
          <w:tcPr>
            <w:tcW w:w="1912"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628BDD91" w14:textId="77777777" w:rsidR="008F2F53" w:rsidRDefault="5A232727" w:rsidP="2ABE2D08">
            <w:pPr>
              <w:jc w:val="both"/>
            </w:pPr>
            <w:r w:rsidRPr="2ABE2D08">
              <w:rPr>
                <w:rFonts w:eastAsia="Arial" w:cs="Arial"/>
                <w:b/>
                <w:bCs/>
                <w:color w:val="000000" w:themeColor="text1"/>
              </w:rPr>
              <w:t>Appendix No.</w:t>
            </w:r>
          </w:p>
        </w:tc>
        <w:tc>
          <w:tcPr>
            <w:tcW w:w="2803"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2ABFF3D8" w14:textId="77777777" w:rsidR="008F2F53" w:rsidRDefault="5A232727" w:rsidP="2ABE2D08">
            <w:pPr>
              <w:jc w:val="both"/>
            </w:pPr>
            <w:r w:rsidRPr="2ABE2D08">
              <w:rPr>
                <w:rFonts w:eastAsia="Arial" w:cs="Arial"/>
                <w:b/>
                <w:bCs/>
                <w:color w:val="000000" w:themeColor="text1"/>
              </w:rPr>
              <w:t xml:space="preserve">Appendix Title </w:t>
            </w:r>
          </w:p>
        </w:tc>
        <w:tc>
          <w:tcPr>
            <w:tcW w:w="4455"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20FA7C17" w14:textId="77777777" w:rsidR="008F2F53" w:rsidRDefault="5A232727" w:rsidP="2ABE2D08">
            <w:pPr>
              <w:jc w:val="both"/>
            </w:pPr>
            <w:r w:rsidRPr="2ABE2D08">
              <w:rPr>
                <w:rFonts w:eastAsia="Arial" w:cs="Arial"/>
                <w:b/>
                <w:bCs/>
                <w:color w:val="000000" w:themeColor="text1"/>
              </w:rPr>
              <w:t>Exempt from Publication</w:t>
            </w:r>
          </w:p>
        </w:tc>
      </w:tr>
      <w:tr w:rsidR="008F2F53" w14:paraId="0EA3F432" w14:textId="77777777" w:rsidTr="2ABE2D08">
        <w:trPr>
          <w:trHeight w:val="300"/>
        </w:trPr>
        <w:tc>
          <w:tcPr>
            <w:tcW w:w="1912" w:type="dxa"/>
            <w:tcBorders>
              <w:top w:val="single" w:sz="8" w:space="0" w:color="auto"/>
              <w:left w:val="single" w:sz="8" w:space="0" w:color="auto"/>
              <w:bottom w:val="single" w:sz="8" w:space="0" w:color="auto"/>
              <w:right w:val="single" w:sz="8" w:space="0" w:color="auto"/>
            </w:tcBorders>
            <w:tcMar>
              <w:left w:w="108" w:type="dxa"/>
              <w:right w:w="108" w:type="dxa"/>
            </w:tcMar>
          </w:tcPr>
          <w:p w14:paraId="2B9D0B9B" w14:textId="77777777" w:rsidR="008F2F53" w:rsidRDefault="5A232727" w:rsidP="2ABE2D08">
            <w:pPr>
              <w:jc w:val="both"/>
            </w:pPr>
            <w:r w:rsidRPr="2ABE2D08">
              <w:rPr>
                <w:rFonts w:eastAsia="Arial" w:cs="Arial"/>
                <w:b/>
                <w:bCs/>
                <w:color w:val="000000" w:themeColor="text1"/>
              </w:rPr>
              <w:t>Appendix 1</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42D2F76D" w14:textId="6445E973" w:rsidR="008F2F53" w:rsidRDefault="5A232727" w:rsidP="2ABE2D08">
            <w:pPr>
              <w:jc w:val="both"/>
            </w:pPr>
            <w:r w:rsidRPr="2ABE2D08">
              <w:rPr>
                <w:rFonts w:eastAsia="Arial" w:cs="Arial"/>
                <w:color w:val="000000" w:themeColor="text1"/>
              </w:rPr>
              <w:t xml:space="preserve">Financial Information </w:t>
            </w:r>
            <w:r w:rsidR="6CF2D3E7" w:rsidRPr="2ABE2D08">
              <w:rPr>
                <w:rStyle w:val="Firstpagetablebold"/>
                <w:rFonts w:cs="Arial"/>
                <w:b w:val="0"/>
                <w:color w:val="auto"/>
              </w:rPr>
              <w:t>Westlands Drive/ Halliday Hill</w:t>
            </w:r>
          </w:p>
          <w:p w14:paraId="326ADA54" w14:textId="77777777" w:rsidR="008F2F53" w:rsidRPr="009C7DAA" w:rsidRDefault="008F2F53" w:rsidP="2ABE2D08">
            <w:pPr>
              <w:jc w:val="both"/>
              <w:rPr>
                <w:rFonts w:eastAsia="Arial" w:cs="Arial"/>
                <w:color w:val="000000" w:themeColor="text1"/>
              </w:rPr>
            </w:pPr>
          </w:p>
        </w:tc>
        <w:tc>
          <w:tcPr>
            <w:tcW w:w="4455" w:type="dxa"/>
            <w:tcBorders>
              <w:top w:val="single" w:sz="8" w:space="0" w:color="auto"/>
              <w:left w:val="single" w:sz="8" w:space="0" w:color="auto"/>
              <w:bottom w:val="single" w:sz="8" w:space="0" w:color="auto"/>
              <w:right w:val="single" w:sz="8" w:space="0" w:color="auto"/>
            </w:tcBorders>
            <w:tcMar>
              <w:left w:w="108" w:type="dxa"/>
              <w:right w:w="108" w:type="dxa"/>
            </w:tcMar>
          </w:tcPr>
          <w:p w14:paraId="4846982A" w14:textId="77777777" w:rsidR="008F2F53" w:rsidRDefault="5A232727" w:rsidP="2ABE2D08">
            <w:pPr>
              <w:jc w:val="both"/>
            </w:pPr>
            <w:r w:rsidRPr="2ABE2D08">
              <w:rPr>
                <w:rFonts w:eastAsia="Arial" w:cs="Arial"/>
                <w:color w:val="000000" w:themeColor="text1"/>
              </w:rPr>
              <w:t>This information is exempted from publication under Schedule 12A to the Local Government Act 1972 on the following basis:</w:t>
            </w:r>
          </w:p>
          <w:p w14:paraId="57486051" w14:textId="77777777" w:rsidR="008F2F53" w:rsidRDefault="5A232727" w:rsidP="2ABE2D08">
            <w:pPr>
              <w:jc w:val="both"/>
              <w:rPr>
                <w:rFonts w:eastAsia="Arial" w:cs="Arial"/>
                <w:color w:val="000000" w:themeColor="text1"/>
              </w:rPr>
            </w:pPr>
            <w:r w:rsidRPr="2ABE2D08">
              <w:rPr>
                <w:rFonts w:eastAsia="Arial" w:cs="Arial"/>
                <w:b/>
                <w:bCs/>
                <w:color w:val="000000" w:themeColor="text1"/>
              </w:rPr>
              <w:t>Commercial Sensitivity</w:t>
            </w:r>
            <w:r w:rsidRPr="2ABE2D08">
              <w:rPr>
                <w:rFonts w:eastAsia="Arial" w:cs="Arial"/>
                <w:color w:val="000000" w:themeColor="text1"/>
              </w:rPr>
              <w:t xml:space="preserve"> </w:t>
            </w:r>
          </w:p>
        </w:tc>
      </w:tr>
    </w:tbl>
    <w:p w14:paraId="7E010081" w14:textId="56B2D710" w:rsidR="00303716" w:rsidRPr="00303716" w:rsidRDefault="38D96EEB" w:rsidP="2ABE2D08">
      <w:pPr>
        <w:pStyle w:val="Heading1"/>
        <w:jc w:val="both"/>
      </w:pPr>
      <w:bookmarkStart w:id="0" w:name="_Hlk197603699"/>
      <w:r>
        <w:t>Introduction and b</w:t>
      </w:r>
      <w:r w:rsidR="0354C7BB">
        <w:t>ackground</w:t>
      </w:r>
      <w:r w:rsidR="54B0CE12">
        <w:t xml:space="preserve"> </w:t>
      </w:r>
    </w:p>
    <w:p w14:paraId="659A62E7" w14:textId="3478B123" w:rsidR="009D3E46" w:rsidRPr="003601D8" w:rsidRDefault="7BECD169" w:rsidP="003601D8">
      <w:pPr>
        <w:pStyle w:val="ListParagraph"/>
        <w:numPr>
          <w:ilvl w:val="0"/>
          <w:numId w:val="9"/>
        </w:numPr>
        <w:jc w:val="both"/>
        <w:rPr>
          <w:b/>
          <w:bCs/>
        </w:rPr>
      </w:pPr>
      <w:r>
        <w:t xml:space="preserve">The Council continues to develop a supply programme to deliver more affordable housing through multiple </w:t>
      </w:r>
      <w:r w:rsidR="7F4F8A56">
        <w:t xml:space="preserve">delivery routes. These include </w:t>
      </w:r>
      <w:r w:rsidR="6CF2D3E7">
        <w:t xml:space="preserve">direct delivery </w:t>
      </w:r>
      <w:r w:rsidR="0DC8BFC4">
        <w:t>schemes</w:t>
      </w:r>
      <w:r w:rsidR="6CF2D3E7">
        <w:t xml:space="preserve">; </w:t>
      </w:r>
      <w:r w:rsidR="0DC8BFC4">
        <w:t>partnerships and joint ventures</w:t>
      </w:r>
      <w:r w:rsidR="6CF2D3E7">
        <w:t xml:space="preserve">; </w:t>
      </w:r>
      <w:r w:rsidR="0DC8BFC4">
        <w:t>regeneration projects</w:t>
      </w:r>
      <w:r w:rsidR="6CF2D3E7">
        <w:t xml:space="preserve">; </w:t>
      </w:r>
      <w:r w:rsidR="0DC8BFC4">
        <w:t>acquisitions</w:t>
      </w:r>
      <w:r w:rsidR="6CF2D3E7">
        <w:t xml:space="preserve"> and advance purchase agreements; and enabling work with Registered Providers, community-led Housing groups, and other partners.  Direct delivery schemes can comprise of </w:t>
      </w:r>
      <w:r w:rsidR="66C9ACD4">
        <w:t xml:space="preserve">development </w:t>
      </w:r>
      <w:r w:rsidR="6CF2D3E7">
        <w:t>delivered directly by the Council</w:t>
      </w:r>
      <w:r w:rsidR="66C9ACD4">
        <w:t xml:space="preserve"> (in the HRA) </w:t>
      </w:r>
      <w:proofErr w:type="gramStart"/>
      <w:r w:rsidR="66C9ACD4">
        <w:t>and also</w:t>
      </w:r>
      <w:proofErr w:type="gramEnd"/>
      <w:r w:rsidR="66C9ACD4">
        <w:t xml:space="preserve"> </w:t>
      </w:r>
      <w:r w:rsidR="0DC8BFC4">
        <w:t xml:space="preserve">developments brought forward by </w:t>
      </w:r>
      <w:r>
        <w:t>Oxford City Homes Limited (OCHL) – trading as OX Place</w:t>
      </w:r>
      <w:r w:rsidR="66C9ACD4">
        <w:t>.</w:t>
      </w:r>
    </w:p>
    <w:p w14:paraId="329F83D5" w14:textId="37BD0135" w:rsidR="00AA1527" w:rsidRPr="00E66165" w:rsidRDefault="0DC8BFC4" w:rsidP="2ABE2D08">
      <w:pPr>
        <w:pStyle w:val="ListParagraph"/>
        <w:ind w:left="426" w:hanging="426"/>
        <w:jc w:val="both"/>
        <w:rPr>
          <w:b/>
          <w:bCs/>
        </w:rPr>
      </w:pPr>
      <w:r>
        <w:t xml:space="preserve">Across the </w:t>
      </w:r>
      <w:r w:rsidR="3FC3454B">
        <w:t>four-year</w:t>
      </w:r>
      <w:r>
        <w:t xml:space="preserve"> period from April 2025 to March 2029,</w:t>
      </w:r>
      <w:r w:rsidR="14F7B137">
        <w:t xml:space="preserve"> </w:t>
      </w:r>
      <w:r>
        <w:t>t</w:t>
      </w:r>
      <w:r w:rsidR="7BECD169">
        <w:t>he Council</w:t>
      </w:r>
      <w:r w:rsidR="66C9ACD4">
        <w:t xml:space="preserve">’s Affordable Housing Supply Programme </w:t>
      </w:r>
      <w:r w:rsidR="6F343230">
        <w:t>aims to</w:t>
      </w:r>
      <w:r w:rsidR="7BECD169">
        <w:t xml:space="preserve"> deliver over 1,600 </w:t>
      </w:r>
      <w:r>
        <w:t xml:space="preserve">new </w:t>
      </w:r>
      <w:r w:rsidR="7BECD169">
        <w:t xml:space="preserve">affordable tenure homes </w:t>
      </w:r>
      <w:r>
        <w:t xml:space="preserve">with </w:t>
      </w:r>
      <w:r w:rsidR="7BECD169">
        <w:t xml:space="preserve">at least 850 </w:t>
      </w:r>
      <w:r w:rsidR="14F7B137">
        <w:t xml:space="preserve">of these </w:t>
      </w:r>
      <w:r w:rsidR="7BECD169">
        <w:t>at the most affordable Social Rent level.</w:t>
      </w:r>
      <w:r>
        <w:t xml:space="preserve"> </w:t>
      </w:r>
    </w:p>
    <w:p w14:paraId="6A2E1BC1" w14:textId="43CA87F2" w:rsidR="00303716" w:rsidRPr="00E66165" w:rsidRDefault="7BECD169" w:rsidP="25AEE1A3">
      <w:pPr>
        <w:pStyle w:val="ListParagraph"/>
        <w:ind w:left="426" w:hanging="426"/>
        <w:jc w:val="both"/>
        <w:rPr>
          <w:b/>
          <w:bCs/>
        </w:rPr>
      </w:pPr>
      <w:r>
        <w:t xml:space="preserve">This report </w:t>
      </w:r>
      <w:r w:rsidR="167F022A">
        <w:t xml:space="preserve">relates </w:t>
      </w:r>
      <w:r w:rsidR="3C2916FD">
        <w:t>specifically</w:t>
      </w:r>
      <w:r w:rsidR="167F022A">
        <w:t xml:space="preserve"> to the Halliday Hill/Westlands Drive scheme (also referred to as Land at Elizabeth Place and Westlands Drive)</w:t>
      </w:r>
      <w:r w:rsidR="66C9ACD4">
        <w:t xml:space="preserve">.  It </w:t>
      </w:r>
      <w:r>
        <w:t>seeks to secure</w:t>
      </w:r>
      <w:r w:rsidR="167F022A">
        <w:t xml:space="preserve"> Cabinet approval to progress </w:t>
      </w:r>
      <w:r w:rsidR="3C2916FD">
        <w:t xml:space="preserve">the scheme </w:t>
      </w:r>
      <w:r w:rsidR="66C9ACD4">
        <w:t xml:space="preserve">as direct delivery by the Council (funded by the HRA), employing OCHL as its development agent, as </w:t>
      </w:r>
      <w:r w:rsidR="09B5F2B7">
        <w:t>the most appropriate development model</w:t>
      </w:r>
      <w:r w:rsidR="66C9ACD4">
        <w:t xml:space="preserve"> for this scheme</w:t>
      </w:r>
      <w:r>
        <w:t>.</w:t>
      </w:r>
    </w:p>
    <w:p w14:paraId="1E8192FA" w14:textId="5E895C9D" w:rsidR="00303716" w:rsidRPr="00303716" w:rsidRDefault="0B36DE97" w:rsidP="2ABE2D08">
      <w:pPr>
        <w:pStyle w:val="Heading1"/>
        <w:jc w:val="both"/>
      </w:pPr>
      <w:r>
        <w:t>Development programme</w:t>
      </w:r>
    </w:p>
    <w:p w14:paraId="0B188EDF" w14:textId="4C12F154" w:rsidR="005775FA" w:rsidRDefault="3C2916FD" w:rsidP="244F951C">
      <w:pPr>
        <w:pStyle w:val="ListParagraph"/>
        <w:jc w:val="both"/>
        <w:rPr>
          <w:color w:val="000000" w:themeColor="text1"/>
        </w:rPr>
      </w:pPr>
      <w:r>
        <w:t>The s</w:t>
      </w:r>
      <w:r w:rsidR="66C9ACD4">
        <w:t xml:space="preserve">ite </w:t>
      </w:r>
      <w:r w:rsidR="69B4D7EF">
        <w:t xml:space="preserve">is owned by the Council in the </w:t>
      </w:r>
      <w:r w:rsidR="7C578996">
        <w:t>HRA,</w:t>
      </w:r>
      <w:r w:rsidR="69B4D7EF">
        <w:t xml:space="preserve"> </w:t>
      </w:r>
      <w:r w:rsidR="7F2FB440">
        <w:t>and the development will be directly delivered by the Council</w:t>
      </w:r>
      <w:r w:rsidR="7789872D">
        <w:t xml:space="preserve">, with OCHL acting as a </w:t>
      </w:r>
      <w:r w:rsidR="3617B4E7">
        <w:t>management</w:t>
      </w:r>
      <w:r w:rsidR="7789872D">
        <w:t xml:space="preserve"> co</w:t>
      </w:r>
      <w:r w:rsidR="504E7EC4">
        <w:t>n</w:t>
      </w:r>
      <w:r w:rsidR="7789872D">
        <w:t>sulta</w:t>
      </w:r>
      <w:r w:rsidR="7D834B0A">
        <w:t>n</w:t>
      </w:r>
      <w:r w:rsidR="7789872D">
        <w:t>t.</w:t>
      </w:r>
      <w:r w:rsidR="52E1B820">
        <w:t xml:space="preserve"> </w:t>
      </w:r>
      <w:r w:rsidR="6EDF53F8">
        <w:t>The site has secured planning consent, and a tender exercise completed with regards to the procurement of a build contractor.</w:t>
      </w:r>
    </w:p>
    <w:p w14:paraId="2BCC2B80" w14:textId="31912795" w:rsidR="005775FA" w:rsidRDefault="52E1B820" w:rsidP="244F951C">
      <w:pPr>
        <w:pStyle w:val="ListParagraph"/>
        <w:jc w:val="both"/>
        <w:rPr>
          <w:color w:val="000000" w:themeColor="text1"/>
        </w:rPr>
      </w:pPr>
      <w:r>
        <w:t>The scheme ha</w:t>
      </w:r>
      <w:r w:rsidR="16169AE1">
        <w:t>d</w:t>
      </w:r>
      <w:r>
        <w:t xml:space="preserve"> previously </w:t>
      </w:r>
      <w:r w:rsidR="66C9ACD4">
        <w:t>been</w:t>
      </w:r>
      <w:r w:rsidR="5E85FE28">
        <w:t xml:space="preserve"> in</w:t>
      </w:r>
      <w:r w:rsidR="66C9ACD4">
        <w:t xml:space="preserve"> OCHL </w:t>
      </w:r>
      <w:r w:rsidR="274765FD">
        <w:t xml:space="preserve">pipeline programme as one of their </w:t>
      </w:r>
      <w:r w:rsidR="19170B5E">
        <w:t xml:space="preserve">development </w:t>
      </w:r>
      <w:r w:rsidR="14E3FE33">
        <w:t>sites</w:t>
      </w:r>
      <w:r w:rsidR="1A276E43">
        <w:t xml:space="preserve"> (where the</w:t>
      </w:r>
      <w:r w:rsidR="62FDB910">
        <w:t xml:space="preserve"> Council would commit to </w:t>
      </w:r>
      <w:r w:rsidR="6F65FBD8">
        <w:t xml:space="preserve">selling and </w:t>
      </w:r>
      <w:r w:rsidR="62FDB910">
        <w:t xml:space="preserve">buying </w:t>
      </w:r>
      <w:r w:rsidR="262BD882">
        <w:t xml:space="preserve">back </w:t>
      </w:r>
      <w:r w:rsidR="62FDB910">
        <w:t xml:space="preserve">the </w:t>
      </w:r>
      <w:r w:rsidR="1BAF08D5">
        <w:t xml:space="preserve">land and </w:t>
      </w:r>
      <w:r w:rsidR="42F2E239">
        <w:t>a</w:t>
      </w:r>
      <w:r w:rsidR="62FDB910">
        <w:t>ffordable home</w:t>
      </w:r>
      <w:r w:rsidR="7A2A8370">
        <w:t>s</w:t>
      </w:r>
      <w:r w:rsidR="472E4B1E">
        <w:t>)</w:t>
      </w:r>
      <w:r w:rsidR="5920CE2C">
        <w:t xml:space="preserve">. </w:t>
      </w:r>
      <w:r w:rsidR="66C9ACD4">
        <w:t xml:space="preserve"> On review, the scheme is now considered to be better brought forward directly by the Council.</w:t>
      </w:r>
      <w:r w:rsidR="3C2916FD">
        <w:t xml:space="preserve"> </w:t>
      </w:r>
      <w:r w:rsidR="1DE23101">
        <w:t>This due to the nature of the scheme, being 100% affordable housing and on Council (HRA) owned land.  It provides better value for money for the HRA and better ensures that development appraisal financial parameters are met.</w:t>
      </w:r>
    </w:p>
    <w:p w14:paraId="702A9B6E" w14:textId="6CFB2ADC" w:rsidR="00145D8F" w:rsidRPr="00374858" w:rsidRDefault="0F2935CD" w:rsidP="2ABE2D08">
      <w:pPr>
        <w:pStyle w:val="ListParagraph"/>
        <w:jc w:val="both"/>
      </w:pPr>
      <w:r>
        <w:t xml:space="preserve">The Council has allocated sufficient budget in the Medium-Term Financial Plan (MTFP) and the HRA business plan, </w:t>
      </w:r>
      <w:r w:rsidR="26292E34">
        <w:t>to deliver the scheme</w:t>
      </w:r>
      <w:r w:rsidR="67CAB1FF">
        <w:t xml:space="preserve"> but funds </w:t>
      </w:r>
      <w:r w:rsidR="31DF634F" w:rsidRPr="25AEE1A3">
        <w:rPr>
          <w:rStyle w:val="Firstpagetablebold"/>
          <w:b w:val="0"/>
          <w:color w:val="auto"/>
        </w:rPr>
        <w:t xml:space="preserve">will </w:t>
      </w:r>
      <w:r w:rsidR="67CAB1FF" w:rsidRPr="25AEE1A3">
        <w:rPr>
          <w:rStyle w:val="Firstpagetablebold"/>
          <w:b w:val="0"/>
          <w:color w:val="auto"/>
        </w:rPr>
        <w:t xml:space="preserve">require </w:t>
      </w:r>
      <w:r w:rsidR="685CCDC2" w:rsidRPr="25AEE1A3">
        <w:rPr>
          <w:rStyle w:val="Firstpagetablebold"/>
          <w:b w:val="0"/>
          <w:color w:val="auto"/>
        </w:rPr>
        <w:t>vire</w:t>
      </w:r>
      <w:r w:rsidR="67CAB1FF" w:rsidRPr="25AEE1A3">
        <w:rPr>
          <w:rStyle w:val="Firstpagetablebold"/>
          <w:b w:val="0"/>
          <w:color w:val="auto"/>
        </w:rPr>
        <w:t xml:space="preserve">ment from </w:t>
      </w:r>
      <w:r w:rsidR="685CCDC2" w:rsidRPr="25AEE1A3">
        <w:rPr>
          <w:rStyle w:val="Firstpagetablebold"/>
          <w:b w:val="0"/>
          <w:color w:val="auto"/>
        </w:rPr>
        <w:t>within approved HRA cost centres to create a new scheme under the HRA capital programme within the existing budget envelope</w:t>
      </w:r>
      <w:r w:rsidR="31DF634F" w:rsidRPr="25AEE1A3">
        <w:rPr>
          <w:rStyle w:val="Firstpagetablebold"/>
          <w:b w:val="0"/>
          <w:color w:val="auto"/>
        </w:rPr>
        <w:t xml:space="preserve">. </w:t>
      </w:r>
    </w:p>
    <w:p w14:paraId="273B3A2B" w14:textId="6A26EBB9" w:rsidR="00EB2E0C" w:rsidRDefault="71DF16E8" w:rsidP="00EC18F8">
      <w:pPr>
        <w:pStyle w:val="ListParagraph"/>
      </w:pPr>
      <w:r>
        <w:t xml:space="preserve">The scheme is detailed below, with additional information relating to the financial appraisal provided in </w:t>
      </w:r>
      <w:r w:rsidR="67CAB1FF">
        <w:t>Appendix 1</w:t>
      </w:r>
      <w:r>
        <w:t xml:space="preserve"> (commercially sensitive) to this report.</w:t>
      </w:r>
    </w:p>
    <w:p w14:paraId="5D252F00" w14:textId="34972B15" w:rsidR="1F6317EC" w:rsidRDefault="1F6317EC" w:rsidP="00EC18F8">
      <w:pPr>
        <w:pStyle w:val="ListParagraph"/>
      </w:pPr>
      <w:r>
        <w:lastRenderedPageBreak/>
        <w:t>The proposed development programme milestones are outlined in the table below.</w:t>
      </w:r>
    </w:p>
    <w:tbl>
      <w:tblPr>
        <w:tblW w:w="92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2865"/>
        <w:gridCol w:w="1665"/>
      </w:tblGrid>
      <w:tr w:rsidR="2ABE2D08" w14:paraId="3682F728"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CAEDFB"/>
            <w:tcMar>
              <w:left w:w="105" w:type="dxa"/>
              <w:right w:w="105" w:type="dxa"/>
            </w:tcMar>
            <w:vAlign w:val="center"/>
          </w:tcPr>
          <w:p w14:paraId="263A6040" w14:textId="73D70C47" w:rsidR="2ABE2D08" w:rsidRDefault="2ABE2D08" w:rsidP="2ABE2D08">
            <w:pPr>
              <w:rPr>
                <w:rFonts w:eastAsia="Arial" w:cs="Arial"/>
                <w:color w:val="000000" w:themeColor="text1"/>
              </w:rPr>
            </w:pPr>
            <w:r w:rsidRPr="2ABE2D08">
              <w:rPr>
                <w:rFonts w:eastAsia="Arial" w:cs="Arial"/>
                <w:b/>
                <w:bCs/>
                <w:color w:val="000000" w:themeColor="text1"/>
              </w:rPr>
              <w:t>Project milestone</w:t>
            </w:r>
          </w:p>
        </w:tc>
        <w:tc>
          <w:tcPr>
            <w:tcW w:w="2865" w:type="dxa"/>
            <w:tcBorders>
              <w:top w:val="single" w:sz="6" w:space="0" w:color="auto"/>
              <w:left w:val="single" w:sz="6" w:space="0" w:color="auto"/>
              <w:bottom w:val="single" w:sz="6" w:space="0" w:color="auto"/>
              <w:right w:val="single" w:sz="6" w:space="0" w:color="auto"/>
            </w:tcBorders>
            <w:shd w:val="clear" w:color="auto" w:fill="CAEDFB"/>
            <w:tcMar>
              <w:left w:w="105" w:type="dxa"/>
              <w:right w:w="105" w:type="dxa"/>
            </w:tcMar>
            <w:vAlign w:val="center"/>
          </w:tcPr>
          <w:p w14:paraId="1C864CC4" w14:textId="374E5016" w:rsidR="2ABE2D08" w:rsidRDefault="2ABE2D08" w:rsidP="2ABE2D08">
            <w:pPr>
              <w:rPr>
                <w:rFonts w:eastAsia="Arial" w:cs="Arial"/>
                <w:color w:val="000000" w:themeColor="text1"/>
              </w:rPr>
            </w:pPr>
            <w:r w:rsidRPr="2ABE2D08">
              <w:rPr>
                <w:rFonts w:eastAsia="Arial" w:cs="Arial"/>
                <w:b/>
                <w:bCs/>
                <w:color w:val="000000" w:themeColor="text1"/>
              </w:rPr>
              <w:t>Target Date</w:t>
            </w:r>
          </w:p>
        </w:tc>
        <w:tc>
          <w:tcPr>
            <w:tcW w:w="1665" w:type="dxa"/>
            <w:tcBorders>
              <w:top w:val="single" w:sz="6" w:space="0" w:color="auto"/>
              <w:left w:val="single" w:sz="6" w:space="0" w:color="auto"/>
              <w:bottom w:val="single" w:sz="6" w:space="0" w:color="auto"/>
              <w:right w:val="single" w:sz="6" w:space="0" w:color="auto"/>
            </w:tcBorders>
            <w:shd w:val="clear" w:color="auto" w:fill="CAEDFB"/>
            <w:tcMar>
              <w:left w:w="105" w:type="dxa"/>
              <w:right w:w="105" w:type="dxa"/>
            </w:tcMar>
            <w:vAlign w:val="center"/>
          </w:tcPr>
          <w:p w14:paraId="77D61247" w14:textId="37E9B9BA" w:rsidR="2ABE2D08" w:rsidRDefault="2ABE2D08" w:rsidP="2ABE2D08">
            <w:pPr>
              <w:rPr>
                <w:rFonts w:eastAsia="Arial" w:cs="Arial"/>
                <w:color w:val="000000" w:themeColor="text1"/>
              </w:rPr>
            </w:pPr>
            <w:r w:rsidRPr="2ABE2D08">
              <w:rPr>
                <w:rFonts w:eastAsia="Arial" w:cs="Arial"/>
                <w:b/>
                <w:bCs/>
                <w:color w:val="000000" w:themeColor="text1"/>
              </w:rPr>
              <w:t>comment</w:t>
            </w:r>
          </w:p>
        </w:tc>
      </w:tr>
      <w:tr w:rsidR="2ABE2D08" w14:paraId="574B1D33"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E882C3" w14:textId="6921EF83" w:rsidR="2ABE2D08" w:rsidRDefault="2ABE2D08" w:rsidP="2ABE2D08">
            <w:pPr>
              <w:rPr>
                <w:rFonts w:eastAsia="Arial" w:cs="Arial"/>
                <w:color w:val="000000" w:themeColor="text1"/>
              </w:rPr>
            </w:pPr>
            <w:r w:rsidRPr="2ABE2D08">
              <w:rPr>
                <w:rFonts w:eastAsia="Arial" w:cs="Arial"/>
                <w:color w:val="000000" w:themeColor="text1"/>
              </w:rPr>
              <w:t>Tender Results &amp; Evaluation</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568C8" w14:textId="36C28E5E" w:rsidR="2ABE2D08" w:rsidRDefault="2ABE2D08" w:rsidP="2ABE2D08">
            <w:pPr>
              <w:rPr>
                <w:rFonts w:eastAsia="Arial" w:cs="Arial"/>
                <w:color w:val="000000" w:themeColor="text1"/>
              </w:rPr>
            </w:pPr>
            <w:r w:rsidRPr="2ABE2D08">
              <w:rPr>
                <w:rFonts w:eastAsia="Arial" w:cs="Arial"/>
                <w:color w:val="000000" w:themeColor="text1"/>
              </w:rPr>
              <w:t>Sept 2025</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E7E39" w14:textId="416CD42B" w:rsidR="2ABE2D08" w:rsidRDefault="2ABE2D08" w:rsidP="2ABE2D08">
            <w:pPr>
              <w:rPr>
                <w:rFonts w:eastAsia="Arial" w:cs="Arial"/>
                <w:color w:val="000000" w:themeColor="text1"/>
              </w:rPr>
            </w:pPr>
          </w:p>
        </w:tc>
      </w:tr>
      <w:tr w:rsidR="2ABE2D08" w14:paraId="7A296637"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36297" w14:textId="0FC4F7CD" w:rsidR="2ABE2D08" w:rsidRDefault="2ABE2D08" w:rsidP="2ABE2D08">
            <w:pPr>
              <w:rPr>
                <w:rFonts w:eastAsia="Arial" w:cs="Arial"/>
                <w:color w:val="000000" w:themeColor="text1"/>
              </w:rPr>
            </w:pPr>
            <w:r w:rsidRPr="2ABE2D08">
              <w:rPr>
                <w:rFonts w:eastAsia="Arial" w:cs="Arial"/>
                <w:color w:val="000000" w:themeColor="text1"/>
              </w:rPr>
              <w:t>Legal Review &amp; Contract Award</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B9648B" w14:textId="6DEDD022" w:rsidR="2ABE2D08" w:rsidRDefault="2ABE2D08" w:rsidP="2ABE2D08">
            <w:pPr>
              <w:rPr>
                <w:rFonts w:eastAsia="Arial" w:cs="Arial"/>
                <w:color w:val="000000" w:themeColor="text1"/>
              </w:rPr>
            </w:pPr>
            <w:r w:rsidRPr="2ABE2D08">
              <w:rPr>
                <w:rFonts w:eastAsia="Arial" w:cs="Arial"/>
                <w:color w:val="000000" w:themeColor="text1"/>
              </w:rPr>
              <w:t>October / November 2025</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5186B3" w14:textId="7E5549B3" w:rsidR="2ABE2D08" w:rsidRDefault="2ABE2D08" w:rsidP="2ABE2D08">
            <w:pPr>
              <w:rPr>
                <w:rFonts w:eastAsia="Arial" w:cs="Arial"/>
                <w:color w:val="000000" w:themeColor="text1"/>
              </w:rPr>
            </w:pPr>
          </w:p>
        </w:tc>
      </w:tr>
      <w:tr w:rsidR="2ABE2D08" w14:paraId="7CD2C0A3"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0A5D4B" w14:textId="6AEB72D4" w:rsidR="2ABE2D08" w:rsidRDefault="2ABE2D08" w:rsidP="2ABE2D08">
            <w:pPr>
              <w:rPr>
                <w:rFonts w:eastAsia="Arial" w:cs="Arial"/>
                <w:color w:val="000000" w:themeColor="text1"/>
              </w:rPr>
            </w:pPr>
            <w:r w:rsidRPr="2ABE2D08">
              <w:rPr>
                <w:rFonts w:eastAsia="Arial" w:cs="Arial"/>
                <w:color w:val="000000" w:themeColor="text1"/>
              </w:rPr>
              <w:t>Contractual Start</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AC4DCB" w14:textId="77A25EA5" w:rsidR="2ABE2D08" w:rsidRDefault="2ABE2D08" w:rsidP="2ABE2D08">
            <w:pPr>
              <w:rPr>
                <w:rFonts w:eastAsia="Arial" w:cs="Arial"/>
                <w:color w:val="000000" w:themeColor="text1"/>
              </w:rPr>
            </w:pPr>
            <w:r w:rsidRPr="2ABE2D08">
              <w:rPr>
                <w:rFonts w:eastAsia="Arial" w:cs="Arial"/>
                <w:color w:val="000000" w:themeColor="text1"/>
              </w:rPr>
              <w:t>November 2025</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6BBAC6" w14:textId="43B40198" w:rsidR="2ABE2D08" w:rsidRDefault="2ABE2D08" w:rsidP="2ABE2D08">
            <w:pPr>
              <w:rPr>
                <w:rFonts w:eastAsia="Arial" w:cs="Arial"/>
                <w:color w:val="000000" w:themeColor="text1"/>
              </w:rPr>
            </w:pPr>
          </w:p>
        </w:tc>
      </w:tr>
      <w:tr w:rsidR="2ABE2D08" w14:paraId="521571AA"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C893A" w14:textId="1AE3B520" w:rsidR="2ABE2D08" w:rsidRDefault="2ABE2D08" w:rsidP="2ABE2D08">
            <w:pPr>
              <w:rPr>
                <w:rFonts w:eastAsia="Arial" w:cs="Arial"/>
                <w:color w:val="000000" w:themeColor="text1"/>
              </w:rPr>
            </w:pPr>
            <w:r w:rsidRPr="2ABE2D08">
              <w:rPr>
                <w:rFonts w:eastAsia="Arial" w:cs="Arial"/>
                <w:color w:val="000000" w:themeColor="text1"/>
              </w:rPr>
              <w:t>Mobilisation/ Pre-commencement condition discharges/ Road closure</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E67544" w14:textId="52820464" w:rsidR="2ABE2D08" w:rsidRDefault="2ABE2D08" w:rsidP="2ABE2D08">
            <w:pPr>
              <w:rPr>
                <w:rFonts w:eastAsia="Arial" w:cs="Arial"/>
                <w:color w:val="000000" w:themeColor="text1"/>
              </w:rPr>
            </w:pPr>
            <w:r w:rsidRPr="2ABE2D08">
              <w:rPr>
                <w:rFonts w:eastAsia="Arial" w:cs="Arial"/>
                <w:color w:val="000000" w:themeColor="text1"/>
              </w:rPr>
              <w:t>February 2026</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9B1DE2" w14:textId="3C1F6780" w:rsidR="2ABE2D08" w:rsidRDefault="2ABE2D08" w:rsidP="2ABE2D08">
            <w:pPr>
              <w:rPr>
                <w:rFonts w:eastAsia="Arial" w:cs="Arial"/>
                <w:color w:val="000000" w:themeColor="text1"/>
              </w:rPr>
            </w:pPr>
            <w:r w:rsidRPr="2ABE2D08">
              <w:rPr>
                <w:rFonts w:eastAsia="Arial" w:cs="Arial"/>
                <w:color w:val="000000" w:themeColor="text1"/>
              </w:rPr>
              <w:t>12 weeks</w:t>
            </w:r>
          </w:p>
        </w:tc>
      </w:tr>
      <w:tr w:rsidR="2ABE2D08" w14:paraId="1C174E66"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4F6339" w14:textId="4294D479" w:rsidR="2ABE2D08" w:rsidRDefault="2ABE2D08" w:rsidP="2ABE2D08">
            <w:pPr>
              <w:rPr>
                <w:rFonts w:eastAsia="Arial" w:cs="Arial"/>
                <w:color w:val="000000" w:themeColor="text1"/>
              </w:rPr>
            </w:pPr>
            <w:r w:rsidRPr="2ABE2D08">
              <w:rPr>
                <w:rFonts w:eastAsia="Arial" w:cs="Arial"/>
                <w:color w:val="000000" w:themeColor="text1"/>
              </w:rPr>
              <w:t>Start on Site</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CBA2BD" w14:textId="43B7D8B8" w:rsidR="2ABE2D08" w:rsidRDefault="2ABE2D08" w:rsidP="2ABE2D08">
            <w:pPr>
              <w:rPr>
                <w:rFonts w:eastAsia="Arial" w:cs="Arial"/>
                <w:color w:val="000000" w:themeColor="text1"/>
              </w:rPr>
            </w:pPr>
            <w:r w:rsidRPr="2ABE2D08">
              <w:rPr>
                <w:rFonts w:eastAsia="Arial" w:cs="Arial"/>
                <w:color w:val="000000" w:themeColor="text1"/>
              </w:rPr>
              <w:t>April 2026</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7F0DAE" w14:textId="35DEFC08" w:rsidR="2ABE2D08" w:rsidRDefault="2ABE2D08" w:rsidP="2ABE2D08">
            <w:pPr>
              <w:rPr>
                <w:rFonts w:eastAsia="Arial" w:cs="Arial"/>
                <w:color w:val="000000" w:themeColor="text1"/>
              </w:rPr>
            </w:pPr>
          </w:p>
        </w:tc>
      </w:tr>
      <w:tr w:rsidR="2ABE2D08" w14:paraId="20337FDD"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0B3F35" w14:textId="7668739B" w:rsidR="2ABE2D08" w:rsidRDefault="2ABE2D08" w:rsidP="2ABE2D08">
            <w:pPr>
              <w:rPr>
                <w:rFonts w:eastAsia="Arial" w:cs="Arial"/>
                <w:color w:val="000000" w:themeColor="text1"/>
              </w:rPr>
            </w:pPr>
            <w:r w:rsidRPr="2ABE2D08">
              <w:rPr>
                <w:rFonts w:eastAsia="Arial" w:cs="Arial"/>
                <w:color w:val="000000" w:themeColor="text1"/>
              </w:rPr>
              <w:t>Practical Completion</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A19268" w14:textId="49D554E0" w:rsidR="2ABE2D08" w:rsidRDefault="2ABE2D08" w:rsidP="2ABE2D08">
            <w:pPr>
              <w:rPr>
                <w:rFonts w:eastAsia="Arial" w:cs="Arial"/>
                <w:color w:val="000000" w:themeColor="text1"/>
              </w:rPr>
            </w:pPr>
            <w:r w:rsidRPr="2ABE2D08">
              <w:rPr>
                <w:rFonts w:eastAsia="Arial" w:cs="Arial"/>
                <w:color w:val="000000" w:themeColor="text1"/>
              </w:rPr>
              <w:t>April 2027</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98853F" w14:textId="1E984DE4" w:rsidR="2ABE2D08" w:rsidRDefault="2ABE2D08" w:rsidP="2ABE2D08">
            <w:pPr>
              <w:rPr>
                <w:rFonts w:eastAsia="Arial" w:cs="Arial"/>
                <w:color w:val="000000" w:themeColor="text1"/>
              </w:rPr>
            </w:pPr>
          </w:p>
        </w:tc>
      </w:tr>
      <w:tr w:rsidR="2ABE2D08" w14:paraId="6C2227A0" w14:textId="77777777" w:rsidTr="0E573A2C">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499FC" w14:textId="6F3CF5E6" w:rsidR="2ABE2D08" w:rsidRDefault="2ABE2D08" w:rsidP="2ABE2D08">
            <w:pPr>
              <w:rPr>
                <w:rFonts w:eastAsia="Arial" w:cs="Arial"/>
                <w:color w:val="000000" w:themeColor="text1"/>
              </w:rPr>
            </w:pPr>
            <w:r w:rsidRPr="2ABE2D08">
              <w:rPr>
                <w:rFonts w:eastAsia="Arial" w:cs="Arial"/>
                <w:color w:val="000000" w:themeColor="text1"/>
              </w:rPr>
              <w:t>End of defects period</w:t>
            </w:r>
          </w:p>
        </w:tc>
        <w:tc>
          <w:tcPr>
            <w:tcW w:w="2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728F8" w14:textId="07D1C807" w:rsidR="2ABE2D08" w:rsidRDefault="2ABE2D08" w:rsidP="2ABE2D08">
            <w:pPr>
              <w:rPr>
                <w:rFonts w:eastAsia="Arial" w:cs="Arial"/>
                <w:color w:val="000000" w:themeColor="text1"/>
              </w:rPr>
            </w:pPr>
            <w:r w:rsidRPr="2ABE2D08">
              <w:rPr>
                <w:rFonts w:eastAsia="Arial" w:cs="Arial"/>
                <w:color w:val="000000" w:themeColor="text1"/>
              </w:rPr>
              <w:t>April 2028</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64BF6" w14:textId="24D166CD" w:rsidR="2ABE2D08" w:rsidRDefault="2ABE2D08" w:rsidP="2ABE2D08">
            <w:pPr>
              <w:rPr>
                <w:rFonts w:eastAsia="Arial" w:cs="Arial"/>
                <w:color w:val="000000" w:themeColor="text1"/>
              </w:rPr>
            </w:pPr>
          </w:p>
        </w:tc>
      </w:tr>
    </w:tbl>
    <w:bookmarkEnd w:id="0"/>
    <w:p w14:paraId="3575E76E" w14:textId="2DEDA320" w:rsidR="005B1A54" w:rsidRDefault="368E6A69" w:rsidP="00AD0F2B">
      <w:pPr>
        <w:spacing w:before="240"/>
        <w:jc w:val="both"/>
        <w:rPr>
          <w:u w:val="single"/>
        </w:rPr>
      </w:pPr>
      <w:r w:rsidRPr="2ABE2D08">
        <w:rPr>
          <w:u w:val="single"/>
        </w:rPr>
        <w:t>Halliday Hill/Westlands Drive</w:t>
      </w:r>
    </w:p>
    <w:p w14:paraId="7DAB3588" w14:textId="13586996" w:rsidR="00303716" w:rsidRDefault="3035279E" w:rsidP="2ABE2D08">
      <w:pPr>
        <w:pStyle w:val="ListParagraph"/>
        <w:ind w:left="426" w:hanging="426"/>
        <w:jc w:val="both"/>
      </w:pPr>
      <w:r>
        <w:t>This is a 100 per cent affordable housing scheme of 15 much needed affordable homes</w:t>
      </w:r>
      <w:r w:rsidR="3586EDEB">
        <w:t xml:space="preserve"> for general needs</w:t>
      </w:r>
      <w:r>
        <w:t xml:space="preserve">. These </w:t>
      </w:r>
      <w:r w:rsidR="6F343230">
        <w:t>are a</w:t>
      </w:r>
      <w:r>
        <w:t xml:space="preserve"> mix of unit types </w:t>
      </w:r>
      <w:r w:rsidR="7A6FCF06">
        <w:t xml:space="preserve">with flats ranging </w:t>
      </w:r>
      <w:r>
        <w:t>from</w:t>
      </w:r>
      <w:r w:rsidR="0263BAF6">
        <w:t xml:space="preserve"> </w:t>
      </w:r>
      <w:r w:rsidR="4ADE6935">
        <w:t>1</w:t>
      </w:r>
      <w:r w:rsidR="0263BAF6">
        <w:t>-</w:t>
      </w:r>
      <w:r w:rsidR="4ADE6935">
        <w:t xml:space="preserve">bedroom to </w:t>
      </w:r>
      <w:r w:rsidR="7A6FCF06">
        <w:t xml:space="preserve">4-bed and </w:t>
      </w:r>
      <w:r w:rsidR="4C71E1EB">
        <w:t>2- and 3-bedroom houses.</w:t>
      </w:r>
      <w:r w:rsidR="0263BAF6">
        <w:t xml:space="preserve"> </w:t>
      </w:r>
      <w:r>
        <w:t xml:space="preserve"> </w:t>
      </w:r>
      <w:r w:rsidR="4C71E1EB">
        <w:t xml:space="preserve">Six of the homes are for </w:t>
      </w:r>
      <w:r w:rsidR="3FB4F9BC">
        <w:t>S</w:t>
      </w:r>
      <w:r w:rsidR="4C71E1EB">
        <w:t xml:space="preserve">ocial </w:t>
      </w:r>
      <w:r w:rsidR="3FB4F9BC">
        <w:t>R</w:t>
      </w:r>
      <w:r w:rsidR="4C71E1EB">
        <w:t xml:space="preserve">ent, </w:t>
      </w:r>
      <w:r w:rsidR="76905003">
        <w:t xml:space="preserve">five are for </w:t>
      </w:r>
      <w:r w:rsidR="3FB4F9BC">
        <w:t>A</w:t>
      </w:r>
      <w:r w:rsidR="76905003">
        <w:t xml:space="preserve">ffordable </w:t>
      </w:r>
      <w:r w:rsidR="3FB4F9BC">
        <w:t>R</w:t>
      </w:r>
      <w:r w:rsidR="76905003">
        <w:t>ent (capped at Local Housing Allowance) and four houses a</w:t>
      </w:r>
      <w:r w:rsidR="3FB4F9BC">
        <w:t xml:space="preserve">re to be developed at Shared Ownership tenure. </w:t>
      </w:r>
      <w:r w:rsidR="12E4536C">
        <w:t xml:space="preserve">Table 1 details the </w:t>
      </w:r>
      <w:r w:rsidR="4F146EA0">
        <w:t>tenure and unit types to be delivered.</w:t>
      </w:r>
      <w:r w:rsidR="0F98B6C9">
        <w:t xml:space="preserve"> One social rent flat is a 4-bed (6-person) flat which supports deliver</w:t>
      </w:r>
      <w:r w:rsidR="296E91C3">
        <w:t xml:space="preserve">y to meet </w:t>
      </w:r>
      <w:r w:rsidR="0F98B6C9">
        <w:t xml:space="preserve">a limited but acute housing need for larger family homes. </w:t>
      </w:r>
      <w:r w:rsidR="11E8ED37">
        <w:t xml:space="preserve">One of the 2-bed </w:t>
      </w:r>
      <w:r w:rsidR="0601CED7">
        <w:t xml:space="preserve">flats at affordable rent will be </w:t>
      </w:r>
      <w:r w:rsidR="67CAB1FF">
        <w:t xml:space="preserve">built to the </w:t>
      </w:r>
      <w:r w:rsidR="0601CED7">
        <w:t>accessible M4(3) standard</w:t>
      </w:r>
      <w:r w:rsidR="67CAB1FF">
        <w:t xml:space="preserve"> (formerly wheelchair standard)</w:t>
      </w:r>
      <w:r w:rsidR="0601CED7">
        <w:t xml:space="preserve">. </w:t>
      </w:r>
    </w:p>
    <w:p w14:paraId="2D534E82" w14:textId="2653F358" w:rsidR="005B1A54" w:rsidRPr="00374858" w:rsidRDefault="4F146EA0" w:rsidP="2ABE2D08">
      <w:pPr>
        <w:jc w:val="both"/>
      </w:pPr>
      <w:r>
        <w:t xml:space="preserve"> </w:t>
      </w:r>
      <w:r w:rsidR="57447DBC" w:rsidRPr="2ABE2D08">
        <w:rPr>
          <w:b/>
          <w:bCs/>
        </w:rPr>
        <w:t>Table 1</w:t>
      </w:r>
      <w:r w:rsidR="57447DBC">
        <w:t xml:space="preserve">: </w:t>
      </w:r>
    </w:p>
    <w:tbl>
      <w:tblPr>
        <w:tblW w:w="5625"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990"/>
        <w:gridCol w:w="990"/>
        <w:gridCol w:w="990"/>
        <w:gridCol w:w="1260"/>
      </w:tblGrid>
      <w:tr w:rsidR="004022CB" w:rsidRPr="00374858" w14:paraId="25E18CC8"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AF0C70C"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Size</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210D09B" w14:textId="772AECD1"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SR</w:t>
            </w:r>
          </w:p>
        </w:tc>
        <w:tc>
          <w:tcPr>
            <w:tcW w:w="9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99BA67B" w14:textId="44CBF268"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AR</w:t>
            </w:r>
          </w:p>
        </w:tc>
        <w:tc>
          <w:tcPr>
            <w:tcW w:w="9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5CC8891" w14:textId="5F1F4996"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SO</w:t>
            </w:r>
          </w:p>
        </w:tc>
        <w:tc>
          <w:tcPr>
            <w:tcW w:w="1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9492372" w14:textId="4E56D61C"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Totals</w:t>
            </w:r>
          </w:p>
        </w:tc>
      </w:tr>
      <w:tr w:rsidR="004022CB" w:rsidRPr="00374858" w14:paraId="44E8F2AA"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58E28941"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1b2pF</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B87016" w14:textId="7460C91C"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0A73274F" w14:textId="40102850"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6A26E013" w14:textId="46E769B1" w:rsidR="004022CB" w:rsidRPr="00374858" w:rsidRDefault="004022CB" w:rsidP="00EC18F8">
            <w:pPr>
              <w:spacing w:after="0"/>
              <w:jc w:val="center"/>
              <w:textAlignment w:val="baseline"/>
              <w:rPr>
                <w:rFonts w:ascii="Segoe UI" w:hAnsi="Segoe UI" w:cs="Segoe UI"/>
                <w:color w:val="auto"/>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7575D7E9" w14:textId="36CE82F8"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004022CB" w:rsidRPr="00374858" w14:paraId="3C8F4783"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37B248B0" w14:textId="48B30CFA"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2b3p</w:t>
            </w:r>
            <w:r w:rsidR="48F9BCD4" w:rsidRPr="2ABE2D08">
              <w:rPr>
                <w:rFonts w:ascii="Century Gothic" w:hAnsi="Century Gothic" w:cs="Segoe UI"/>
                <w:b/>
                <w:bCs/>
                <w:color w:val="auto"/>
              </w:rPr>
              <w:t>F</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D9B551D" w14:textId="2B832B81"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0601559A" w14:textId="6228AB4F"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4B805CD" w14:textId="4D40DF6C" w:rsidR="004022CB" w:rsidRPr="00374858" w:rsidRDefault="004022CB" w:rsidP="00EC18F8">
            <w:pPr>
              <w:spacing w:after="0"/>
              <w:jc w:val="center"/>
              <w:textAlignment w:val="baseline"/>
              <w:rPr>
                <w:rFonts w:ascii="Segoe UI" w:hAnsi="Segoe UI" w:cs="Segoe UI"/>
                <w:color w:val="auto"/>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F272A52" w14:textId="4CC81763"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3</w:t>
            </w:r>
          </w:p>
        </w:tc>
      </w:tr>
      <w:tr w:rsidR="004022CB" w:rsidRPr="00374858" w14:paraId="2DF8C334"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5FB72E27"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2b4pF</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172658A" w14:textId="3336130C"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6BDC0A0D" w14:textId="3C858448"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3D18433B" w14:textId="69309E96" w:rsidR="004022CB" w:rsidRPr="00374858" w:rsidRDefault="004022CB" w:rsidP="00EC18F8">
            <w:pPr>
              <w:spacing w:after="0"/>
              <w:jc w:val="center"/>
              <w:textAlignment w:val="baseline"/>
              <w:rPr>
                <w:rFonts w:ascii="Segoe UI" w:hAnsi="Segoe UI" w:cs="Segoe UI"/>
                <w:color w:val="auto"/>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0627551C" w14:textId="0940D7EE"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004022CB" w:rsidRPr="00374858" w14:paraId="5531541C"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3B6565ED"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2b4pH</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C040C3D" w14:textId="17A88D78"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4734933F" w14:textId="3847FD6D"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2908DE5B" w14:textId="3CD2075B"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4</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691748E" w14:textId="6070EFD8"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4</w:t>
            </w:r>
          </w:p>
        </w:tc>
      </w:tr>
      <w:tr w:rsidR="004022CB" w:rsidRPr="00374858" w14:paraId="4F1D8014"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60749EEC"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3b5pF</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5019B06" w14:textId="67AE1DBD"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2FC1BC03" w14:textId="1DB7C78F"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2F8F7E2A" w14:textId="2E6F8201" w:rsidR="004022CB" w:rsidRPr="00374858" w:rsidRDefault="004022CB" w:rsidP="00EC18F8">
            <w:pPr>
              <w:spacing w:after="0"/>
              <w:jc w:val="center"/>
              <w:textAlignment w:val="baseline"/>
              <w:rPr>
                <w:rFonts w:ascii="Segoe UI" w:hAnsi="Segoe UI" w:cs="Segoe UI"/>
                <w:color w:val="auto"/>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1A0565A" w14:textId="06DB3E07"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004022CB" w:rsidRPr="00374858" w14:paraId="6BFF25C8"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39C760BF"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3b5pH</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0D7654A" w14:textId="23E747F8"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A5805CF" w14:textId="7AC0BC1F"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0471EF76" w14:textId="4EFDF8F5" w:rsidR="004022CB" w:rsidRPr="00374858" w:rsidRDefault="004022CB" w:rsidP="00EC18F8">
            <w:pPr>
              <w:spacing w:after="0"/>
              <w:jc w:val="center"/>
              <w:textAlignment w:val="baseline"/>
              <w:rPr>
                <w:rFonts w:ascii="Segoe UI" w:hAnsi="Segoe UI" w:cs="Segoe UI"/>
                <w:color w:val="auto"/>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6488B7C6" w14:textId="0044A70D"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4</w:t>
            </w:r>
          </w:p>
        </w:tc>
      </w:tr>
      <w:tr w:rsidR="004022CB" w:rsidRPr="00374858" w14:paraId="7D723FB7"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vAlign w:val="center"/>
            <w:hideMark/>
          </w:tcPr>
          <w:p w14:paraId="3659575A"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4b6pF</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C78EE8A" w14:textId="64C93B3E"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color w:val="auto"/>
              </w:rPr>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2252CAD1" w14:textId="16F2A919" w:rsidR="004022CB" w:rsidRPr="00374858" w:rsidRDefault="004022CB" w:rsidP="00EC18F8">
            <w:pPr>
              <w:spacing w:after="0"/>
              <w:jc w:val="center"/>
              <w:textAlignment w:val="baseline"/>
              <w:rPr>
                <w:rFonts w:ascii="Segoe UI" w:hAnsi="Segoe UI" w:cs="Segoe UI"/>
                <w:color w:val="auto"/>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4CBDF7C9" w14:textId="764DD156" w:rsidR="004022CB" w:rsidRPr="00374858" w:rsidRDefault="004022CB" w:rsidP="00EC18F8">
            <w:pPr>
              <w:spacing w:after="0"/>
              <w:jc w:val="center"/>
              <w:textAlignment w:val="baseline"/>
              <w:rPr>
                <w:rFonts w:ascii="Segoe UI" w:hAnsi="Segoe UI" w:cs="Segoe UI"/>
                <w:color w:val="auto"/>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24D0E873" w14:textId="2264C55B"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w:t>
            </w:r>
          </w:p>
        </w:tc>
      </w:tr>
      <w:tr w:rsidR="004022CB" w:rsidRPr="00374858" w14:paraId="2851D60F" w14:textId="77777777" w:rsidTr="00EC18F8">
        <w:trPr>
          <w:trHeight w:val="340"/>
        </w:trPr>
        <w:tc>
          <w:tcPr>
            <w:tcW w:w="139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3035BAC" w14:textId="77777777" w:rsidR="004022CB" w:rsidRPr="00374858" w:rsidRDefault="57447DBC" w:rsidP="2ABE2D08">
            <w:pPr>
              <w:spacing w:after="0"/>
              <w:jc w:val="both"/>
              <w:textAlignment w:val="baseline"/>
              <w:rPr>
                <w:rFonts w:ascii="Segoe UI" w:hAnsi="Segoe UI" w:cs="Segoe UI"/>
                <w:color w:val="auto"/>
                <w:sz w:val="18"/>
                <w:szCs w:val="18"/>
              </w:rPr>
            </w:pPr>
            <w:r w:rsidRPr="2ABE2D08">
              <w:rPr>
                <w:rFonts w:ascii="Century Gothic" w:hAnsi="Century Gothic" w:cs="Segoe UI"/>
                <w:b/>
                <w:bCs/>
                <w:color w:val="auto"/>
              </w:rPr>
              <w:t>Totals</w:t>
            </w:r>
            <w:r w:rsidRPr="2ABE2D08">
              <w:rPr>
                <w:rFonts w:ascii="Century Gothic" w:hAnsi="Century Gothic" w:cs="Segoe UI"/>
                <w:color w:val="auto"/>
              </w:rPr>
              <w:t> </w:t>
            </w:r>
          </w:p>
        </w:tc>
        <w:tc>
          <w:tcPr>
            <w:tcW w:w="9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2E0A9A1" w14:textId="0EF40A4E"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6</w:t>
            </w:r>
          </w:p>
        </w:tc>
        <w:tc>
          <w:tcPr>
            <w:tcW w:w="9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7AB40C59" w14:textId="433C086F"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5</w:t>
            </w:r>
          </w:p>
        </w:tc>
        <w:tc>
          <w:tcPr>
            <w:tcW w:w="99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46DE66B" w14:textId="711C69B5"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4</w:t>
            </w:r>
          </w:p>
        </w:tc>
        <w:tc>
          <w:tcPr>
            <w:tcW w:w="1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22D8B9E" w14:textId="6A10275B" w:rsidR="004022CB" w:rsidRPr="00374858" w:rsidRDefault="57447DBC" w:rsidP="00EC18F8">
            <w:pPr>
              <w:spacing w:after="0"/>
              <w:jc w:val="center"/>
              <w:textAlignment w:val="baseline"/>
              <w:rPr>
                <w:rFonts w:ascii="Segoe UI" w:hAnsi="Segoe UI" w:cs="Segoe UI"/>
                <w:color w:val="auto"/>
                <w:sz w:val="18"/>
                <w:szCs w:val="18"/>
              </w:rPr>
            </w:pPr>
            <w:r w:rsidRPr="2ABE2D08">
              <w:rPr>
                <w:rFonts w:ascii="Century Gothic" w:hAnsi="Century Gothic" w:cs="Segoe UI"/>
                <w:b/>
                <w:bCs/>
                <w:color w:val="auto"/>
              </w:rPr>
              <w:t>15</w:t>
            </w:r>
          </w:p>
        </w:tc>
      </w:tr>
    </w:tbl>
    <w:p w14:paraId="7E9A3761" w14:textId="58A892F5" w:rsidR="000ED3E0" w:rsidRDefault="1F3BFDEF" w:rsidP="00AD0F2B">
      <w:pPr>
        <w:pStyle w:val="ListParagraph"/>
        <w:spacing w:before="240"/>
        <w:ind w:left="426" w:hanging="426"/>
        <w:jc w:val="both"/>
      </w:pPr>
      <w:r>
        <w:t>The mix acr</w:t>
      </w:r>
      <w:r w:rsidR="36DCBC9C">
        <w:t xml:space="preserve">oss tenures and between houses and flats accommodates a </w:t>
      </w:r>
      <w:r w:rsidR="67CAB1FF">
        <w:t xml:space="preserve">balanced </w:t>
      </w:r>
      <w:r w:rsidR="36DCBC9C">
        <w:t>approach which</w:t>
      </w:r>
      <w:r w:rsidR="67CAB1FF">
        <w:t xml:space="preserve"> seeks to prioritise the affordability of the larger family homes whilst ensuring the financial viability of the scheme and the preference for the accessways to be managed within the Council (in the rented tenures).</w:t>
      </w:r>
    </w:p>
    <w:p w14:paraId="66984FDE" w14:textId="05015A93" w:rsidR="00226E18" w:rsidRDefault="53E6D30C" w:rsidP="2ABE2D08">
      <w:pPr>
        <w:pStyle w:val="ListParagraph"/>
        <w:ind w:left="426" w:hanging="426"/>
        <w:jc w:val="both"/>
      </w:pPr>
      <w:r>
        <w:t>The Council</w:t>
      </w:r>
      <w:r w:rsidR="2E40C27A">
        <w:t xml:space="preserve"> currently own the land</w:t>
      </w:r>
      <w:r w:rsidR="49CDF7BF">
        <w:t xml:space="preserve"> detailed in the red line plan below</w:t>
      </w:r>
      <w:r w:rsidR="4BC4B7C4">
        <w:t xml:space="preserve">, </w:t>
      </w:r>
      <w:r w:rsidR="49CDF7BF">
        <w:t>including the road,</w:t>
      </w:r>
      <w:r w:rsidR="2E40C27A">
        <w:t xml:space="preserve"> in </w:t>
      </w:r>
      <w:r w:rsidR="5041F281">
        <w:t>the HRA</w:t>
      </w:r>
      <w:r w:rsidR="2E40C27A">
        <w:t>.</w:t>
      </w:r>
      <w:r w:rsidR="31215076">
        <w:t xml:space="preserve"> </w:t>
      </w:r>
      <w:r w:rsidR="1E57D038">
        <w:t>The land will remain in ownership</w:t>
      </w:r>
      <w:r w:rsidR="137CC687">
        <w:t xml:space="preserve"> of the Council</w:t>
      </w:r>
      <w:r w:rsidR="1E57D038">
        <w:t xml:space="preserve">.  </w:t>
      </w:r>
    </w:p>
    <w:p w14:paraId="0DC4C2E7" w14:textId="0A816367" w:rsidR="11ACF88C" w:rsidRPr="00374858" w:rsidRDefault="6A48D68C" w:rsidP="2ABE2D08">
      <w:pPr>
        <w:pStyle w:val="ListParagraph"/>
        <w:ind w:left="426" w:hanging="426"/>
        <w:jc w:val="both"/>
        <w:rPr>
          <w:color w:val="000000" w:themeColor="text1"/>
        </w:rPr>
      </w:pPr>
      <w:r>
        <w:t xml:space="preserve">OCHL </w:t>
      </w:r>
      <w:r w:rsidR="67CAB1FF">
        <w:t xml:space="preserve">will be engaged by the Council to </w:t>
      </w:r>
      <w:r w:rsidR="1E57D038">
        <w:t>act as Development Agent u</w:t>
      </w:r>
      <w:r w:rsidR="33801A68">
        <w:t xml:space="preserve">nder </w:t>
      </w:r>
      <w:r w:rsidR="1E57D038">
        <w:t xml:space="preserve">a Services </w:t>
      </w:r>
      <w:r w:rsidR="33801A68">
        <w:t>Agreement</w:t>
      </w:r>
      <w:r w:rsidR="1E57D038">
        <w:t>, with all development risks and costs to be covered by the Council within the HRA.</w:t>
      </w:r>
    </w:p>
    <w:p w14:paraId="09676AF7" w14:textId="676BC051" w:rsidR="00B6389E" w:rsidRDefault="64F53350" w:rsidP="00175DA7">
      <w:pPr>
        <w:pStyle w:val="ListParagraph"/>
        <w:ind w:left="426" w:hanging="426"/>
        <w:jc w:val="both"/>
      </w:pPr>
      <w:r>
        <w:lastRenderedPageBreak/>
        <w:t>This is a challenging site</w:t>
      </w:r>
      <w:r w:rsidR="37257914">
        <w:t xml:space="preserve"> which is located partly on a road (Elizabeth Place)</w:t>
      </w:r>
      <w:r w:rsidR="1E9492A0">
        <w:t xml:space="preserve"> that </w:t>
      </w:r>
      <w:r w:rsidR="67489F08">
        <w:t>involves a road stopping</w:t>
      </w:r>
      <w:r w:rsidR="1E57D038">
        <w:t>-up</w:t>
      </w:r>
      <w:r w:rsidR="67489F08">
        <w:t xml:space="preserve"> order</w:t>
      </w:r>
      <w:r w:rsidR="37257914">
        <w:t xml:space="preserve">. </w:t>
      </w:r>
      <w:r w:rsidR="1E57D038">
        <w:t>The new homes will be built partially on the green at Northway, with t</w:t>
      </w:r>
      <w:r w:rsidR="2ED37540">
        <w:t>he design incorporat</w:t>
      </w:r>
      <w:r w:rsidR="1E57D038">
        <w:t xml:space="preserve">ing some </w:t>
      </w:r>
      <w:r w:rsidR="2ED37540">
        <w:t xml:space="preserve">of the green space </w:t>
      </w:r>
      <w:r w:rsidR="608EA29E">
        <w:t>into the plan</w:t>
      </w:r>
      <w:r w:rsidR="1E57D038">
        <w:t xml:space="preserve">.  </w:t>
      </w:r>
      <w:r w:rsidR="608EA29E">
        <w:t xml:space="preserve">75 per cent of </w:t>
      </w:r>
      <w:r w:rsidR="1E57D038">
        <w:t xml:space="preserve">the </w:t>
      </w:r>
      <w:r w:rsidR="608EA29E">
        <w:t xml:space="preserve">green space </w:t>
      </w:r>
      <w:r w:rsidR="1E57D038">
        <w:t xml:space="preserve">will be </w:t>
      </w:r>
      <w:r w:rsidR="608EA29E">
        <w:t>retained</w:t>
      </w:r>
      <w:r w:rsidR="1E57D038">
        <w:t xml:space="preserve"> and improved.  </w:t>
      </w:r>
      <w:r w:rsidR="5ACD0025">
        <w:t xml:space="preserve">The red line plan and </w:t>
      </w:r>
      <w:r w:rsidR="1E57D038">
        <w:t xml:space="preserve">scheme/ </w:t>
      </w:r>
      <w:r w:rsidR="1E097BAB">
        <w:t>plot plan are provided below.</w:t>
      </w:r>
      <w:r w:rsidR="0A30BB8B">
        <w:t xml:space="preserve"> </w:t>
      </w:r>
    </w:p>
    <w:p w14:paraId="4790EA39" w14:textId="0C38E1F3" w:rsidR="727E8704" w:rsidRDefault="727E8704" w:rsidP="244F951C">
      <w:pPr>
        <w:pStyle w:val="ListParagraph"/>
        <w:ind w:left="426" w:hanging="426"/>
        <w:jc w:val="both"/>
      </w:pPr>
      <w:r>
        <w:t xml:space="preserve">As the land is currently held in the HRA </w:t>
      </w:r>
      <w:r w:rsidR="48332C11">
        <w:t>it is not desig</w:t>
      </w:r>
      <w:r>
        <w:t>n</w:t>
      </w:r>
      <w:r w:rsidR="48332C11">
        <w:t>ated as statutory green space</w:t>
      </w:r>
      <w:r w:rsidR="08416721">
        <w:t xml:space="preserve">. The </w:t>
      </w:r>
      <w:r w:rsidR="30964FAA">
        <w:t>site will be u</w:t>
      </w:r>
      <w:r>
        <w:t xml:space="preserve">sed </w:t>
      </w:r>
      <w:r w:rsidR="4F495CC2">
        <w:t>to</w:t>
      </w:r>
      <w:r>
        <w:t xml:space="preserve"> benefit tenants</w:t>
      </w:r>
      <w:r w:rsidR="66C46E23">
        <w:t xml:space="preserve">. As it is already held within the HRA there is no need to appropriate this land. </w:t>
      </w:r>
    </w:p>
    <w:p w14:paraId="2AAA2CB4" w14:textId="0BCE483C" w:rsidR="002372E5" w:rsidRPr="00374858" w:rsidRDefault="30EAE58F" w:rsidP="2ABE2D08">
      <w:pPr>
        <w:jc w:val="both"/>
      </w:pPr>
      <w:r w:rsidRPr="2ABE2D08">
        <w:rPr>
          <w:b/>
          <w:bCs/>
        </w:rPr>
        <w:t>Red line plan</w:t>
      </w:r>
      <w:r>
        <w:t>:</w:t>
      </w:r>
    </w:p>
    <w:p w14:paraId="1FB754C8" w14:textId="46B605FF" w:rsidR="008D5D75" w:rsidRPr="00374858" w:rsidRDefault="30EAE58F" w:rsidP="2ABE2D08">
      <w:pPr>
        <w:ind w:left="360" w:hanging="360"/>
        <w:jc w:val="both"/>
      </w:pPr>
      <w:r>
        <w:rPr>
          <w:noProof/>
        </w:rPr>
        <w:drawing>
          <wp:inline distT="0" distB="0" distL="0" distR="0" wp14:anchorId="5010D02B" wp14:editId="015E1C13">
            <wp:extent cx="3824976" cy="32480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7058" cy="3266776"/>
                    </a:xfrm>
                    <a:prstGeom prst="rect">
                      <a:avLst/>
                    </a:prstGeom>
                  </pic:spPr>
                </pic:pic>
              </a:graphicData>
            </a:graphic>
          </wp:inline>
        </w:drawing>
      </w:r>
    </w:p>
    <w:p w14:paraId="3555A734" w14:textId="03B5DAC6" w:rsidR="00303716" w:rsidRPr="00374858" w:rsidRDefault="7A3AABFD" w:rsidP="00175DA7">
      <w:pPr>
        <w:spacing w:before="240"/>
        <w:ind w:left="360" w:hanging="360"/>
        <w:jc w:val="both"/>
      </w:pPr>
      <w:r w:rsidRPr="2ABE2D08">
        <w:rPr>
          <w:b/>
          <w:bCs/>
        </w:rPr>
        <w:t>Plot plan</w:t>
      </w:r>
      <w:r>
        <w:t>:</w:t>
      </w:r>
    </w:p>
    <w:p w14:paraId="36259C5C" w14:textId="382A5C2A" w:rsidR="008D5D75" w:rsidRPr="00374858" w:rsidRDefault="7A3AABFD" w:rsidP="2ABE2D08">
      <w:pPr>
        <w:ind w:left="360" w:hanging="360"/>
        <w:jc w:val="both"/>
      </w:pPr>
      <w:r>
        <w:rPr>
          <w:noProof/>
        </w:rPr>
        <w:drawing>
          <wp:inline distT="0" distB="0" distL="0" distR="0" wp14:anchorId="52C1489A" wp14:editId="14AC90CA">
            <wp:extent cx="3856006" cy="329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8109" cy="3314541"/>
                    </a:xfrm>
                    <a:prstGeom prst="rect">
                      <a:avLst/>
                    </a:prstGeom>
                    <a:noFill/>
                    <a:ln>
                      <a:noFill/>
                    </a:ln>
                  </pic:spPr>
                </pic:pic>
              </a:graphicData>
            </a:graphic>
          </wp:inline>
        </w:drawing>
      </w:r>
      <w:r w:rsidR="00736ADB">
        <w:br/>
      </w:r>
    </w:p>
    <w:p w14:paraId="320C5131" w14:textId="78063D48" w:rsidR="00B92E65" w:rsidRPr="00374858" w:rsidRDefault="6651A260" w:rsidP="2ABE2D08">
      <w:pPr>
        <w:pStyle w:val="ListParagraph"/>
        <w:ind w:left="426" w:hanging="426"/>
        <w:jc w:val="both"/>
      </w:pPr>
      <w:r>
        <w:lastRenderedPageBreak/>
        <w:t xml:space="preserve">The scheme was granted </w:t>
      </w:r>
      <w:r w:rsidR="21B194B0">
        <w:t xml:space="preserve">planning consent </w:t>
      </w:r>
      <w:r w:rsidR="14B282DE">
        <w:t xml:space="preserve">subject to </w:t>
      </w:r>
      <w:r w:rsidR="1E8735B4">
        <w:t xml:space="preserve">s106 at planning committee </w:t>
      </w:r>
      <w:r w:rsidR="21B194B0">
        <w:t xml:space="preserve">in June 2023 </w:t>
      </w:r>
      <w:r w:rsidR="2AA113E4">
        <w:t>(22/01554/FUL)</w:t>
      </w:r>
      <w:r w:rsidR="1E8735B4">
        <w:t xml:space="preserve">. The s106 </w:t>
      </w:r>
      <w:r w:rsidR="1E57D038">
        <w:t>agreement is now signed</w:t>
      </w:r>
      <w:r w:rsidR="6091C196">
        <w:t>.</w:t>
      </w:r>
      <w:r w:rsidR="5CFFE947">
        <w:t xml:space="preserve"> </w:t>
      </w:r>
    </w:p>
    <w:p w14:paraId="713820BD" w14:textId="5C37AA33" w:rsidR="00EE2326" w:rsidRPr="00374858" w:rsidRDefault="5715B9E2" w:rsidP="2ABE2D08">
      <w:pPr>
        <w:pStyle w:val="ListParagraph"/>
        <w:ind w:left="426" w:hanging="426"/>
        <w:jc w:val="both"/>
      </w:pPr>
      <w:r>
        <w:t xml:space="preserve">The homes are designed to a high quality, exceeding </w:t>
      </w:r>
      <w:r w:rsidR="2AAA87BA">
        <w:t>a 40 per cent reduction in carbon emissions (against 20</w:t>
      </w:r>
      <w:r w:rsidR="0C53CB37">
        <w:t>22</w:t>
      </w:r>
      <w:r w:rsidR="2AAA87BA">
        <w:t xml:space="preserve"> building standards)</w:t>
      </w:r>
      <w:r w:rsidR="7E4379A4">
        <w:t xml:space="preserve">. </w:t>
      </w:r>
      <w:r w:rsidR="48AABE1B">
        <w:t>The scheme uses</w:t>
      </w:r>
      <w:r w:rsidR="667401B6">
        <w:t xml:space="preserve"> a fabric-first approach to minimise energy consumption and cost</w:t>
      </w:r>
      <w:r w:rsidR="736D0DF5">
        <w:t>,</w:t>
      </w:r>
      <w:r w:rsidR="48AABE1B">
        <w:t xml:space="preserve"> with a</w:t>
      </w:r>
      <w:r w:rsidR="667401B6">
        <w:t xml:space="preserve"> target of zero carbon for regulated energy.</w:t>
      </w:r>
      <w:r w:rsidR="48AABE1B">
        <w:t xml:space="preserve"> An all-electric scheme is expected to achieve this, with air-source heat pumps and PV </w:t>
      </w:r>
      <w:r w:rsidR="1E57D038">
        <w:t xml:space="preserve">panels </w:t>
      </w:r>
      <w:r w:rsidR="48AABE1B">
        <w:t>on roofs.  An EPC rating of B or above is expected.</w:t>
      </w:r>
    </w:p>
    <w:p w14:paraId="0931010A" w14:textId="00B72F1F" w:rsidR="005C5591" w:rsidRPr="00374858" w:rsidRDefault="3300F273" w:rsidP="2ABE2D08">
      <w:pPr>
        <w:pStyle w:val="ListParagraph"/>
        <w:ind w:left="426" w:hanging="426"/>
        <w:jc w:val="both"/>
      </w:pPr>
      <w:r>
        <w:t>This is a low car development as it is close to public transport services and located in a Controlled Parking Zone (CPZ)</w:t>
      </w:r>
    </w:p>
    <w:p w14:paraId="70635196" w14:textId="298A5F7F" w:rsidR="002312EA" w:rsidRPr="00374858" w:rsidRDefault="1DCABE4C" w:rsidP="2ABE2D08">
      <w:pPr>
        <w:pStyle w:val="Heading1"/>
        <w:jc w:val="both"/>
      </w:pPr>
      <w:r>
        <w:t xml:space="preserve">Alternative Options Considered </w:t>
      </w:r>
    </w:p>
    <w:p w14:paraId="5556DAA0" w14:textId="29F8FA14" w:rsidR="002312EA" w:rsidRPr="00374858" w:rsidRDefault="52289E5E" w:rsidP="009E64F8">
      <w:pPr>
        <w:pStyle w:val="ListParagraph"/>
        <w:ind w:left="426" w:hanging="426"/>
        <w:jc w:val="both"/>
        <w:rPr>
          <w:rFonts w:cs="Arial"/>
          <w:color w:val="auto"/>
        </w:rPr>
      </w:pPr>
      <w:r w:rsidRPr="2ABE2D08">
        <w:rPr>
          <w:rFonts w:cs="Arial"/>
          <w:color w:val="auto"/>
        </w:rPr>
        <w:t xml:space="preserve">There are no </w:t>
      </w:r>
      <w:r w:rsidR="331A26D0" w:rsidRPr="2ABE2D08">
        <w:rPr>
          <w:rFonts w:cs="Arial"/>
          <w:color w:val="auto"/>
        </w:rPr>
        <w:t xml:space="preserve">further </w:t>
      </w:r>
      <w:r w:rsidRPr="2ABE2D08">
        <w:rPr>
          <w:rFonts w:cs="Arial"/>
          <w:color w:val="auto"/>
        </w:rPr>
        <w:t>alternatives to the proposed options</w:t>
      </w:r>
      <w:r w:rsidR="6E376F09" w:rsidRPr="2ABE2D08">
        <w:rPr>
          <w:rFonts w:cs="Arial"/>
          <w:color w:val="auto"/>
        </w:rPr>
        <w:t>, other than to not progress with the scheme</w:t>
      </w:r>
      <w:r w:rsidR="1DCABE4C" w:rsidRPr="2ABE2D08">
        <w:rPr>
          <w:rFonts w:cs="Arial"/>
          <w:color w:val="auto"/>
        </w:rPr>
        <w:t xml:space="preserve">. </w:t>
      </w:r>
    </w:p>
    <w:p w14:paraId="11308776" w14:textId="77777777" w:rsidR="0040736F" w:rsidRPr="00374858" w:rsidRDefault="63F8443F" w:rsidP="2ABE2D08">
      <w:pPr>
        <w:pStyle w:val="Heading1"/>
        <w:jc w:val="both"/>
      </w:pPr>
      <w:r>
        <w:t>Financial implications</w:t>
      </w:r>
    </w:p>
    <w:p w14:paraId="3E50900D" w14:textId="63A326F6" w:rsidR="4E3B9FAC" w:rsidRPr="0059387B" w:rsidRDefault="092A90D4" w:rsidP="0059387B">
      <w:pPr>
        <w:pStyle w:val="ListParagraph"/>
        <w:jc w:val="both"/>
        <w:rPr>
          <w:rFonts w:cs="Arial"/>
          <w:color w:val="FF0000"/>
        </w:rPr>
      </w:pPr>
      <w:r w:rsidRPr="2ABE2D08">
        <w:rPr>
          <w:color w:val="auto"/>
        </w:rPr>
        <w:t>This report seeks the required delegations to further develop th</w:t>
      </w:r>
      <w:r w:rsidR="1E57D038" w:rsidRPr="2ABE2D08">
        <w:rPr>
          <w:color w:val="auto"/>
        </w:rPr>
        <w:t>is scheme within th</w:t>
      </w:r>
      <w:r w:rsidRPr="2ABE2D08">
        <w:rPr>
          <w:color w:val="auto"/>
        </w:rPr>
        <w:t xml:space="preserve">e programme of affordable housing supply. </w:t>
      </w:r>
      <w:r w:rsidRPr="2ABE2D08">
        <w:rPr>
          <w:rFonts w:cs="Arial"/>
        </w:rPr>
        <w:t xml:space="preserve">The Council’s Medium Term Finance Plan (MTFP), approved at Council </w:t>
      </w:r>
      <w:r w:rsidR="1FDDE309" w:rsidRPr="2ABE2D08">
        <w:rPr>
          <w:rFonts w:cs="Arial"/>
        </w:rPr>
        <w:t>o</w:t>
      </w:r>
      <w:r w:rsidRPr="2ABE2D08">
        <w:rPr>
          <w:rFonts w:cs="Arial"/>
        </w:rPr>
        <w:t xml:space="preserve">n </w:t>
      </w:r>
      <w:r w:rsidR="1FDDE309" w:rsidRPr="2ABE2D08">
        <w:rPr>
          <w:rFonts w:cs="Arial"/>
        </w:rPr>
        <w:t xml:space="preserve">13 </w:t>
      </w:r>
      <w:r w:rsidRPr="2ABE2D08">
        <w:rPr>
          <w:rFonts w:cs="Arial"/>
        </w:rPr>
        <w:t>February 2025, supports the 40</w:t>
      </w:r>
      <w:r w:rsidR="588FBE20" w:rsidRPr="2ABE2D08">
        <w:rPr>
          <w:rFonts w:cs="Arial"/>
        </w:rPr>
        <w:t>-</w:t>
      </w:r>
      <w:r w:rsidRPr="2ABE2D08">
        <w:rPr>
          <w:rFonts w:cs="Arial"/>
        </w:rPr>
        <w:t>year HRA Business Plan, and makes provision for purchases of affordable housing from OCHL’s 10</w:t>
      </w:r>
      <w:r w:rsidR="37F8D8F6" w:rsidRPr="2ABE2D08">
        <w:rPr>
          <w:rFonts w:cs="Arial"/>
        </w:rPr>
        <w:t>-</w:t>
      </w:r>
      <w:r w:rsidRPr="2ABE2D08">
        <w:rPr>
          <w:rFonts w:cs="Arial"/>
        </w:rPr>
        <w:t xml:space="preserve">year development programme </w:t>
      </w:r>
      <w:r w:rsidR="7E45E8B4" w:rsidRPr="2ABE2D08">
        <w:rPr>
          <w:rFonts w:cs="Arial"/>
        </w:rPr>
        <w:t>w</w:t>
      </w:r>
      <w:r w:rsidRPr="2ABE2D08">
        <w:rPr>
          <w:rFonts w:cs="Arial"/>
        </w:rPr>
        <w:t>ithin an overall budget envelope of £3</w:t>
      </w:r>
      <w:r w:rsidR="7E45E8B4" w:rsidRPr="2ABE2D08">
        <w:rPr>
          <w:rFonts w:cs="Arial"/>
        </w:rPr>
        <w:t>32</w:t>
      </w:r>
      <w:r w:rsidRPr="2ABE2D08">
        <w:rPr>
          <w:rFonts w:cs="Arial"/>
        </w:rPr>
        <w:t>m (before grant and shared ownership sales).</w:t>
      </w:r>
      <w:r w:rsidRPr="2ABE2D08">
        <w:rPr>
          <w:color w:val="auto"/>
        </w:rPr>
        <w:t xml:space="preserve">  </w:t>
      </w:r>
      <w:r w:rsidR="7E45E8B4" w:rsidRPr="2ABE2D08">
        <w:rPr>
          <w:color w:val="auto"/>
        </w:rPr>
        <w:t>The budget includes a further £100m for direct delivery by the Council (in the HRA).</w:t>
      </w:r>
    </w:p>
    <w:p w14:paraId="7C487706" w14:textId="77777777" w:rsidR="007C11E2" w:rsidRPr="00374858" w:rsidRDefault="092A90D4" w:rsidP="2ABE2D08">
      <w:pPr>
        <w:pStyle w:val="ListParagraph"/>
        <w:jc w:val="both"/>
        <w:rPr>
          <w:rFonts w:cs="Arial"/>
          <w:color w:val="FF0000"/>
        </w:rPr>
      </w:pPr>
      <w:r w:rsidRPr="2ABE2D08">
        <w:rPr>
          <w:color w:val="auto"/>
        </w:rPr>
        <w:t>The decision to proceed with any development or buy-back will be supported by a development scheme appraisal/ financial modelling to ensure that financial parameters and requirements are met</w:t>
      </w:r>
      <w:r w:rsidRPr="2ABE2D08">
        <w:rPr>
          <w:rFonts w:cs="Arial"/>
          <w:color w:val="auto"/>
        </w:rPr>
        <w:t xml:space="preserve"> </w:t>
      </w:r>
      <w:r w:rsidRPr="2ABE2D08">
        <w:rPr>
          <w:rFonts w:cs="Arial"/>
        </w:rPr>
        <w:t>for OCHL and the HRA. These parameters have been previously agreed and for the HRA are as follows for each scheme:</w:t>
      </w:r>
    </w:p>
    <w:p w14:paraId="030B2415" w14:textId="5448811B" w:rsidR="007C11E2" w:rsidRPr="00374858" w:rsidRDefault="092A90D4" w:rsidP="0059387B">
      <w:pPr>
        <w:pStyle w:val="ListParagraph"/>
        <w:numPr>
          <w:ilvl w:val="0"/>
          <w:numId w:val="11"/>
        </w:numPr>
        <w:spacing w:after="0"/>
      </w:pPr>
      <w:r w:rsidRPr="2ABE2D08">
        <w:t xml:space="preserve">a payback period of up to 70 years; and </w:t>
      </w:r>
    </w:p>
    <w:p w14:paraId="53D9FE33" w14:textId="77777777" w:rsidR="0059387B" w:rsidRDefault="092A90D4" w:rsidP="0059387B">
      <w:pPr>
        <w:pStyle w:val="ListParagraph"/>
        <w:numPr>
          <w:ilvl w:val="0"/>
          <w:numId w:val="11"/>
        </w:numPr>
        <w:spacing w:after="0"/>
      </w:pPr>
      <w:r w:rsidRPr="2ABE2D08">
        <w:t>a positive Net Present Value (NPV) over this period; and</w:t>
      </w:r>
    </w:p>
    <w:p w14:paraId="453EE0C2" w14:textId="66A49321" w:rsidR="007C11E2" w:rsidRPr="0059387B" w:rsidRDefault="092A90D4" w:rsidP="0059387B">
      <w:pPr>
        <w:pStyle w:val="ListParagraph"/>
        <w:numPr>
          <w:ilvl w:val="0"/>
          <w:numId w:val="11"/>
        </w:numPr>
      </w:pPr>
      <w:r w:rsidRPr="0059387B">
        <w:rPr>
          <w:color w:val="auto"/>
        </w:rPr>
        <w:t>an Internal Rate of Return (IRR) of at least 3%.</w:t>
      </w:r>
    </w:p>
    <w:p w14:paraId="18413AB6" w14:textId="4DDF2001" w:rsidR="007C11E2" w:rsidRPr="00374858" w:rsidRDefault="092A90D4" w:rsidP="2ABE2D08">
      <w:pPr>
        <w:pStyle w:val="ListParagraph"/>
        <w:jc w:val="both"/>
        <w:rPr>
          <w:rFonts w:cs="Arial"/>
          <w:color w:val="auto"/>
        </w:rPr>
      </w:pPr>
      <w:r w:rsidRPr="2ABE2D08">
        <w:rPr>
          <w:rFonts w:cs="Arial"/>
          <w:color w:val="auto"/>
        </w:rPr>
        <w:t>Meeting these parameters ensure</w:t>
      </w:r>
      <w:r w:rsidR="7E45E8B4" w:rsidRPr="2ABE2D08">
        <w:rPr>
          <w:rFonts w:cs="Arial"/>
          <w:color w:val="auto"/>
        </w:rPr>
        <w:t>s</w:t>
      </w:r>
      <w:r w:rsidRPr="2ABE2D08">
        <w:rPr>
          <w:rFonts w:cs="Arial"/>
          <w:color w:val="auto"/>
        </w:rPr>
        <w:t xml:space="preserve"> that the HRA business plan remains financially robust. Conversely, not meeting these parameters will impact this position. </w:t>
      </w:r>
    </w:p>
    <w:p w14:paraId="06827778" w14:textId="77777777" w:rsidR="0040736F" w:rsidRPr="00374858" w:rsidRDefault="71DD9977" w:rsidP="2ABE2D08">
      <w:pPr>
        <w:pStyle w:val="Heading1"/>
        <w:jc w:val="both"/>
      </w:pPr>
      <w:r>
        <w:t>Legal issues</w:t>
      </w:r>
    </w:p>
    <w:p w14:paraId="77E2CC5A" w14:textId="2702EA6C" w:rsidR="00C27E05" w:rsidRPr="00EC18F8" w:rsidRDefault="14A7A08B" w:rsidP="00EC18F8">
      <w:pPr>
        <w:pStyle w:val="ListParagraph"/>
        <w:spacing w:after="240"/>
        <w:ind w:left="357" w:hanging="357"/>
        <w:jc w:val="both"/>
        <w:rPr>
          <w:rFonts w:eastAsia="Arial" w:cs="Arial"/>
        </w:rPr>
      </w:pPr>
      <w:r w:rsidRPr="25AEE1A3">
        <w:rPr>
          <w:rFonts w:cs="Arial"/>
          <w:color w:val="auto"/>
        </w:rPr>
        <w:t>Under Parts</w:t>
      </w:r>
      <w:r w:rsidR="56EF1E7B" w:rsidRPr="25AEE1A3">
        <w:rPr>
          <w:rFonts w:cs="Arial"/>
          <w:color w:val="auto"/>
        </w:rPr>
        <w:t>, (9)</w:t>
      </w:r>
      <w:r w:rsidR="7E45E8B4" w:rsidRPr="25AEE1A3">
        <w:rPr>
          <w:rFonts w:cs="Arial"/>
          <w:color w:val="auto"/>
        </w:rPr>
        <w:t xml:space="preserve">, </w:t>
      </w:r>
      <w:r w:rsidR="56EF1E7B" w:rsidRPr="25AEE1A3">
        <w:rPr>
          <w:rFonts w:cs="Arial"/>
          <w:color w:val="auto"/>
        </w:rPr>
        <w:t>(10)</w:t>
      </w:r>
      <w:r w:rsidR="58DEF321" w:rsidRPr="25AEE1A3">
        <w:rPr>
          <w:rFonts w:cs="Arial"/>
          <w:color w:val="auto"/>
        </w:rPr>
        <w:t xml:space="preserve"> and (11)</w:t>
      </w:r>
      <w:r w:rsidR="56EF1E7B" w:rsidRPr="25AEE1A3">
        <w:rPr>
          <w:rFonts w:cs="Arial"/>
          <w:color w:val="auto"/>
        </w:rPr>
        <w:t xml:space="preserve"> </w:t>
      </w:r>
      <w:r w:rsidR="7E45E8B4" w:rsidRPr="25AEE1A3">
        <w:rPr>
          <w:rFonts w:cs="Arial"/>
          <w:color w:val="auto"/>
        </w:rPr>
        <w:t xml:space="preserve">of the Constitution, </w:t>
      </w:r>
      <w:r w:rsidR="737CFF0E" w:rsidRPr="25AEE1A3">
        <w:rPr>
          <w:rFonts w:cs="Arial"/>
          <w:color w:val="auto"/>
        </w:rPr>
        <w:t>Cabinet is</w:t>
      </w:r>
      <w:r w:rsidR="6697758F" w:rsidRPr="25AEE1A3">
        <w:rPr>
          <w:rFonts w:cs="Arial"/>
          <w:color w:val="auto"/>
        </w:rPr>
        <w:t xml:space="preserve"> responsible for the decisions set out in the recommendation. </w:t>
      </w:r>
      <w:r w:rsidR="737CFF0E" w:rsidRPr="25AEE1A3">
        <w:rPr>
          <w:rFonts w:cs="Arial"/>
          <w:color w:val="auto"/>
        </w:rPr>
        <w:t xml:space="preserve"> </w:t>
      </w:r>
      <w:r w:rsidR="33F1FE27" w:rsidRPr="25AEE1A3">
        <w:rPr>
          <w:rFonts w:cs="Arial"/>
          <w:color w:val="auto"/>
        </w:rPr>
        <w:t xml:space="preserve">Cabinet is </w:t>
      </w:r>
      <w:r w:rsidR="737CFF0E" w:rsidRPr="25AEE1A3">
        <w:rPr>
          <w:rFonts w:cs="Arial"/>
          <w:color w:val="auto"/>
        </w:rPr>
        <w:t>empowered to</w:t>
      </w:r>
      <w:r w:rsidR="58DEF321" w:rsidRPr="25AEE1A3">
        <w:rPr>
          <w:rFonts w:cs="Arial"/>
          <w:color w:val="auto"/>
        </w:rPr>
        <w:t xml:space="preserve"> agree transfers between cost centres of over £250,000 </w:t>
      </w:r>
      <w:proofErr w:type="gramStart"/>
      <w:r w:rsidR="58DEF321" w:rsidRPr="25AEE1A3">
        <w:rPr>
          <w:rFonts w:cs="Arial"/>
          <w:color w:val="auto"/>
        </w:rPr>
        <w:t>provided that</w:t>
      </w:r>
      <w:proofErr w:type="gramEnd"/>
      <w:r w:rsidR="58DEF321" w:rsidRPr="25AEE1A3">
        <w:rPr>
          <w:rFonts w:cs="Arial"/>
          <w:color w:val="auto"/>
        </w:rPr>
        <w:t xml:space="preserve"> they are consistent with the policy framework, give project approval for projects of £750,000 or over</w:t>
      </w:r>
      <w:r w:rsidR="7D2257BE" w:rsidRPr="25AEE1A3">
        <w:rPr>
          <w:rFonts w:cs="Arial"/>
          <w:color w:val="auto"/>
        </w:rPr>
        <w:t xml:space="preserve"> and </w:t>
      </w:r>
      <w:r w:rsidR="58DEF321" w:rsidRPr="25AEE1A3">
        <w:rPr>
          <w:rFonts w:cs="Arial"/>
          <w:color w:val="auto"/>
        </w:rPr>
        <w:t>award contracts over £750,000</w:t>
      </w:r>
      <w:r w:rsidR="0B880A72" w:rsidRPr="25AEE1A3">
        <w:rPr>
          <w:rFonts w:cs="Arial"/>
          <w:color w:val="auto"/>
        </w:rPr>
        <w:t>.</w:t>
      </w:r>
      <w:r w:rsidR="7DC6315C" w:rsidRPr="25AEE1A3">
        <w:rPr>
          <w:rFonts w:cs="Arial"/>
          <w:color w:val="auto"/>
        </w:rPr>
        <w:t xml:space="preserve">  </w:t>
      </w:r>
      <w:r w:rsidR="7DC6315C" w:rsidRPr="25AEE1A3">
        <w:rPr>
          <w:rFonts w:eastAsia="Arial" w:cs="Arial"/>
          <w:color w:val="242424"/>
        </w:rPr>
        <w:t>Under section 9E (3) (c) of the Local Government Act 2000 Cabinet is empowered to delegate its functions to officers</w:t>
      </w:r>
      <w:r w:rsidR="09E6BA76" w:rsidRPr="25AEE1A3">
        <w:rPr>
          <w:rFonts w:eastAsia="Arial" w:cs="Arial"/>
          <w:color w:val="242424"/>
        </w:rPr>
        <w:t xml:space="preserve"> and therefore is permitted to delegate </w:t>
      </w:r>
      <w:r w:rsidR="09E6BA76" w:rsidRPr="25AEE1A3">
        <w:rPr>
          <w:rFonts w:eastAsia="Arial" w:cs="Arial"/>
          <w:color w:val="000000" w:themeColor="text1"/>
        </w:rPr>
        <w:t xml:space="preserve">authority to the Director of Housing, </w:t>
      </w:r>
      <w:r w:rsidR="09E6BA76" w:rsidRPr="25AEE1A3">
        <w:rPr>
          <w:rFonts w:eastAsia="Arial" w:cs="Arial"/>
        </w:rPr>
        <w:t>in consultation with relevant office</w:t>
      </w:r>
      <w:r w:rsidR="4AA7D213" w:rsidRPr="25AEE1A3">
        <w:rPr>
          <w:rFonts w:eastAsia="Arial" w:cs="Arial"/>
        </w:rPr>
        <w:t xml:space="preserve">rs </w:t>
      </w:r>
      <w:r w:rsidR="09E6BA76" w:rsidRPr="25AEE1A3">
        <w:rPr>
          <w:rFonts w:eastAsia="Arial" w:cs="Arial"/>
        </w:rPr>
        <w:t xml:space="preserve">to </w:t>
      </w:r>
      <w:proofErr w:type="gramStart"/>
      <w:r w:rsidR="09E6BA76" w:rsidRPr="25AEE1A3">
        <w:rPr>
          <w:rFonts w:eastAsia="Arial" w:cs="Arial"/>
        </w:rPr>
        <w:t>enter into</w:t>
      </w:r>
      <w:proofErr w:type="gramEnd"/>
      <w:r w:rsidR="09E6BA76" w:rsidRPr="25AEE1A3">
        <w:rPr>
          <w:rFonts w:eastAsia="Arial" w:cs="Arial"/>
        </w:rPr>
        <w:t xml:space="preserve"> build contracts and any </w:t>
      </w:r>
      <w:r w:rsidR="0025FF13" w:rsidRPr="25AEE1A3">
        <w:rPr>
          <w:rFonts w:eastAsia="Arial" w:cs="Arial"/>
        </w:rPr>
        <w:t xml:space="preserve">ancillary legal documents </w:t>
      </w:r>
      <w:r w:rsidR="09E6BA76" w:rsidRPr="25AEE1A3">
        <w:rPr>
          <w:rFonts w:eastAsia="Arial" w:cs="Arial"/>
        </w:rPr>
        <w:t>to facilitate the development</w:t>
      </w:r>
      <w:r w:rsidR="6C5DCA0F" w:rsidRPr="25AEE1A3">
        <w:rPr>
          <w:rFonts w:eastAsia="Arial" w:cs="Arial"/>
        </w:rPr>
        <w:t>.</w:t>
      </w:r>
    </w:p>
    <w:p w14:paraId="258F43A2" w14:textId="2D136761" w:rsidR="00CA43E2" w:rsidRPr="00900294" w:rsidRDefault="05CC88C3" w:rsidP="2ABE2D08">
      <w:pPr>
        <w:pStyle w:val="ListParagraph"/>
        <w:jc w:val="both"/>
      </w:pPr>
      <w:r>
        <w:t xml:space="preserve">In accordance with </w:t>
      </w:r>
      <w:r w:rsidR="249F8AC0">
        <w:t xml:space="preserve">Part </w:t>
      </w:r>
      <w:r>
        <w:t xml:space="preserve">4.4 of the Constitution, a delegated officer is empowered to award a contract with a value </w:t>
      </w:r>
      <w:proofErr w:type="gramStart"/>
      <w:r>
        <w:t>in excess of</w:t>
      </w:r>
      <w:proofErr w:type="gramEnd"/>
      <w:r>
        <w:t xml:space="preserve"> £10,000 but less than £750,000 when the Council is the buyer. </w:t>
      </w:r>
    </w:p>
    <w:p w14:paraId="5996AD18" w14:textId="51FC4F76" w:rsidR="00241F23" w:rsidRDefault="5CA887CE" w:rsidP="2ABE2D08">
      <w:pPr>
        <w:pStyle w:val="ListParagraph"/>
        <w:jc w:val="both"/>
      </w:pPr>
      <w:r>
        <w:lastRenderedPageBreak/>
        <w:t xml:space="preserve">In accordance with </w:t>
      </w:r>
      <w:r w:rsidR="50118AB9">
        <w:t xml:space="preserve">Part </w:t>
      </w:r>
      <w:r>
        <w:t xml:space="preserve">19.12 of the Constitution the council </w:t>
      </w:r>
      <w:r w:rsidR="1634039E">
        <w:t>may commission</w:t>
      </w:r>
      <w:r w:rsidR="5144455B">
        <w:t xml:space="preserve"> it’s </w:t>
      </w:r>
      <w:proofErr w:type="spellStart"/>
      <w:r>
        <w:t>Teckal</w:t>
      </w:r>
      <w:proofErr w:type="spellEnd"/>
      <w:r>
        <w:t xml:space="preserve"> companies for one off capital schemes or services T</w:t>
      </w:r>
      <w:r w:rsidR="5144455B">
        <w:t xml:space="preserve">he </w:t>
      </w:r>
      <w:proofErr w:type="spellStart"/>
      <w:r w:rsidR="5144455B">
        <w:t>Teckal</w:t>
      </w:r>
      <w:proofErr w:type="spellEnd"/>
      <w:r w:rsidR="5144455B">
        <w:t xml:space="preserve"> company</w:t>
      </w:r>
      <w:r>
        <w:t xml:space="preserve"> benefit from the “</w:t>
      </w:r>
      <w:proofErr w:type="spellStart"/>
      <w:r>
        <w:t>Teckal</w:t>
      </w:r>
      <w:proofErr w:type="spellEnd"/>
      <w:r>
        <w:t xml:space="preserve">” exemption to the procurement legislation. This means that the </w:t>
      </w:r>
      <w:r w:rsidR="0B880A72">
        <w:t>c</w:t>
      </w:r>
      <w:r>
        <w:t xml:space="preserve">ouncil may award contracts to a teckel company without the need to comply with procurement </w:t>
      </w:r>
      <w:proofErr w:type="gramStart"/>
      <w:r>
        <w:t>law</w:t>
      </w:r>
      <w:proofErr w:type="gramEnd"/>
      <w:r w:rsidR="21CF94D4">
        <w:t xml:space="preserve"> but it must comply with the Council’s contract rules, specifically </w:t>
      </w:r>
      <w:r w:rsidR="655425F7">
        <w:t>Part</w:t>
      </w:r>
      <w:r w:rsidR="4E9C5A41">
        <w:t xml:space="preserve">19 </w:t>
      </w:r>
      <w:r w:rsidR="21CF94D4">
        <w:t xml:space="preserve">Appendix 2 of the </w:t>
      </w:r>
      <w:r w:rsidR="4E9C5A41">
        <w:t xml:space="preserve">Constitution </w:t>
      </w:r>
    </w:p>
    <w:p w14:paraId="157DB7D2" w14:textId="0F193A7E" w:rsidR="00035783" w:rsidRPr="00CA43E2" w:rsidRDefault="467B6201" w:rsidP="2ABE2D08">
      <w:pPr>
        <w:pStyle w:val="ListParagraph"/>
        <w:jc w:val="both"/>
      </w:pPr>
      <w:r w:rsidRPr="2ABE2D08">
        <w:rPr>
          <w:rFonts w:cs="Arial"/>
          <w:color w:val="auto"/>
        </w:rPr>
        <w:t>Procurement of goods and services for the purpose of developing homes must be carried out in accordance with the Council’s Constitution, Contract Rules, procurement procedures and in compliance with the Procurement Act 2023 (or any successor legislation), including adherence to transparency, fairness and best value principles.</w:t>
      </w:r>
    </w:p>
    <w:p w14:paraId="5F5F937E" w14:textId="0C1CDE4A" w:rsidR="000F08CD" w:rsidRPr="00154691" w:rsidRDefault="0010ECB9" w:rsidP="2ABE2D08">
      <w:pPr>
        <w:pStyle w:val="ListParagraph"/>
        <w:spacing w:after="240"/>
        <w:ind w:left="357" w:hanging="357"/>
        <w:jc w:val="both"/>
        <w:rPr>
          <w:rFonts w:cs="Arial"/>
          <w:color w:val="auto"/>
        </w:rPr>
      </w:pPr>
      <w:r w:rsidRPr="25AEE1A3">
        <w:rPr>
          <w:rFonts w:cs="Arial"/>
          <w:color w:val="auto"/>
        </w:rPr>
        <w:t>The proposal</w:t>
      </w:r>
      <w:r w:rsidR="49509D2E" w:rsidRPr="25AEE1A3">
        <w:rPr>
          <w:rFonts w:cs="Arial"/>
          <w:color w:val="auto"/>
        </w:rPr>
        <w:t>s</w:t>
      </w:r>
      <w:r w:rsidRPr="25AEE1A3">
        <w:rPr>
          <w:rFonts w:cs="Arial"/>
          <w:color w:val="auto"/>
        </w:rPr>
        <w:t xml:space="preserve"> set out in this report f</w:t>
      </w:r>
      <w:r w:rsidR="49509D2E" w:rsidRPr="25AEE1A3">
        <w:rPr>
          <w:rFonts w:cs="Arial"/>
          <w:color w:val="auto"/>
        </w:rPr>
        <w:t>all</w:t>
      </w:r>
      <w:r w:rsidRPr="25AEE1A3">
        <w:rPr>
          <w:rFonts w:cs="Arial"/>
          <w:color w:val="auto"/>
        </w:rPr>
        <w:t xml:space="preserve"> within </w:t>
      </w:r>
      <w:r w:rsidR="22684824" w:rsidRPr="25AEE1A3">
        <w:rPr>
          <w:color w:val="auto"/>
        </w:rPr>
        <w:t>Council’s st</w:t>
      </w:r>
      <w:r w:rsidR="22684824" w:rsidRPr="25AEE1A3">
        <w:rPr>
          <w:rFonts w:cs="Arial"/>
          <w:color w:val="auto"/>
        </w:rPr>
        <w:t>atutory powers</w:t>
      </w:r>
      <w:r w:rsidR="70509213" w:rsidRPr="25AEE1A3">
        <w:rPr>
          <w:rFonts w:cs="Arial"/>
          <w:color w:val="auto"/>
        </w:rPr>
        <w:t xml:space="preserve"> i</w:t>
      </w:r>
      <w:r w:rsidR="35578DB5" w:rsidRPr="25AEE1A3">
        <w:rPr>
          <w:rFonts w:cs="Arial"/>
          <w:color w:val="auto"/>
        </w:rPr>
        <w:t>ncluding the power to provide and manage housing through the Housing Revenue Account (HRA)</w:t>
      </w:r>
      <w:r w:rsidR="22684824" w:rsidRPr="25AEE1A3">
        <w:rPr>
          <w:rFonts w:cs="Arial"/>
          <w:color w:val="auto"/>
        </w:rPr>
        <w:t xml:space="preserve">. The general power of competence under the Localism Act 2011 and the Local Authorities (Land) Act 1963 </w:t>
      </w:r>
      <w:r w:rsidR="62DD4A36" w:rsidRPr="25AEE1A3">
        <w:rPr>
          <w:rFonts w:cs="Arial"/>
          <w:color w:val="auto"/>
        </w:rPr>
        <w:t>enables</w:t>
      </w:r>
      <w:r w:rsidR="22684824" w:rsidRPr="25AEE1A3">
        <w:rPr>
          <w:rFonts w:cs="Arial"/>
          <w:color w:val="auto"/>
        </w:rPr>
        <w:t xml:space="preserve"> the Council to develop land it already owns. </w:t>
      </w:r>
      <w:r w:rsidR="6D4E4B26" w:rsidRPr="25AEE1A3">
        <w:rPr>
          <w:rFonts w:cs="Arial"/>
          <w:color w:val="auto"/>
        </w:rPr>
        <w:t xml:space="preserve">These powers support </w:t>
      </w:r>
      <w:r w:rsidR="7E45E8B4" w:rsidRPr="25AEE1A3">
        <w:rPr>
          <w:rFonts w:cs="Arial"/>
          <w:color w:val="auto"/>
        </w:rPr>
        <w:t xml:space="preserve">both direct </w:t>
      </w:r>
      <w:r w:rsidR="596C1A69" w:rsidRPr="25AEE1A3">
        <w:rPr>
          <w:rFonts w:cs="Arial"/>
          <w:color w:val="auto"/>
        </w:rPr>
        <w:t>delivery</w:t>
      </w:r>
      <w:r w:rsidR="7E45E8B4" w:rsidRPr="25AEE1A3">
        <w:rPr>
          <w:rFonts w:cs="Arial"/>
          <w:color w:val="auto"/>
        </w:rPr>
        <w:t xml:space="preserve"> </w:t>
      </w:r>
      <w:r w:rsidR="6D4E4B26" w:rsidRPr="25AEE1A3">
        <w:rPr>
          <w:rFonts w:cs="Arial"/>
          <w:color w:val="auto"/>
        </w:rPr>
        <w:t>by the Council or acquisition from its wholly owned company</w:t>
      </w:r>
      <w:r w:rsidR="10FFBDD9" w:rsidRPr="25AEE1A3">
        <w:rPr>
          <w:rFonts w:cs="Arial"/>
          <w:color w:val="auto"/>
        </w:rPr>
        <w:t xml:space="preserve"> (</w:t>
      </w:r>
      <w:r w:rsidR="6D4E4B26" w:rsidRPr="25AEE1A3">
        <w:rPr>
          <w:rFonts w:cs="Arial"/>
          <w:color w:val="auto"/>
        </w:rPr>
        <w:t>OCHL</w:t>
      </w:r>
      <w:r w:rsidR="10FFBDD9" w:rsidRPr="25AEE1A3">
        <w:rPr>
          <w:rFonts w:cs="Arial"/>
          <w:color w:val="auto"/>
        </w:rPr>
        <w:t>).</w:t>
      </w:r>
    </w:p>
    <w:p w14:paraId="5A2BD595" w14:textId="386F9CD5" w:rsidR="00F570AD" w:rsidRPr="00B6389E" w:rsidRDefault="10FFBDD9" w:rsidP="2ABE2D08">
      <w:pPr>
        <w:pStyle w:val="ListParagraph"/>
        <w:jc w:val="both"/>
        <w:rPr>
          <w:rFonts w:cs="Arial"/>
          <w:color w:val="auto"/>
        </w:rPr>
      </w:pPr>
      <w:r w:rsidRPr="2ABE2D08">
        <w:rPr>
          <w:rFonts w:cs="Arial"/>
          <w:color w:val="auto"/>
        </w:rPr>
        <w:t>T</w:t>
      </w:r>
      <w:r w:rsidR="565CD2FB" w:rsidRPr="2ABE2D08">
        <w:rPr>
          <w:rFonts w:cs="Arial"/>
          <w:color w:val="auto"/>
        </w:rPr>
        <w:t xml:space="preserve">he Council </w:t>
      </w:r>
      <w:r w:rsidRPr="2ABE2D08">
        <w:rPr>
          <w:rFonts w:cs="Arial"/>
          <w:color w:val="auto"/>
        </w:rPr>
        <w:t xml:space="preserve">will </w:t>
      </w:r>
      <w:r w:rsidR="565CD2FB" w:rsidRPr="2ABE2D08">
        <w:rPr>
          <w:rFonts w:cs="Arial"/>
          <w:color w:val="auto"/>
        </w:rPr>
        <w:t xml:space="preserve">need to </w:t>
      </w:r>
      <w:proofErr w:type="gramStart"/>
      <w:r w:rsidR="565CD2FB" w:rsidRPr="2ABE2D08">
        <w:rPr>
          <w:rFonts w:cs="Arial"/>
          <w:color w:val="auto"/>
        </w:rPr>
        <w:t>enter into</w:t>
      </w:r>
      <w:proofErr w:type="gramEnd"/>
      <w:r w:rsidR="565CD2FB" w:rsidRPr="2ABE2D08">
        <w:rPr>
          <w:rFonts w:cs="Arial"/>
          <w:color w:val="auto"/>
        </w:rPr>
        <w:t xml:space="preserve"> construction an</w:t>
      </w:r>
      <w:r w:rsidR="1069EB8E" w:rsidRPr="2ABE2D08">
        <w:rPr>
          <w:rFonts w:cs="Arial"/>
          <w:color w:val="auto"/>
        </w:rPr>
        <w:t>d</w:t>
      </w:r>
      <w:r w:rsidR="565CD2FB" w:rsidRPr="2ABE2D08">
        <w:rPr>
          <w:rFonts w:cs="Arial"/>
          <w:color w:val="auto"/>
        </w:rPr>
        <w:t xml:space="preserve"> consultancy contracts</w:t>
      </w:r>
      <w:r w:rsidRPr="2ABE2D08">
        <w:rPr>
          <w:rFonts w:cs="Arial"/>
          <w:color w:val="auto"/>
        </w:rPr>
        <w:t xml:space="preserve"> directly for this development, as well as agreeing a Development Services Agreement with OCHL.  Such </w:t>
      </w:r>
      <w:r w:rsidR="41131811" w:rsidRPr="2ABE2D08">
        <w:rPr>
          <w:rFonts w:cs="Arial"/>
          <w:color w:val="auto"/>
        </w:rPr>
        <w:t xml:space="preserve">agreements must be carefully structured to comply with procurement law, avoid unlawful subsidy, and protect the </w:t>
      </w:r>
      <w:r w:rsidR="5349E2D0" w:rsidRPr="2ABE2D08">
        <w:rPr>
          <w:rFonts w:cs="Arial"/>
          <w:color w:val="auto"/>
        </w:rPr>
        <w:t>C</w:t>
      </w:r>
      <w:r w:rsidR="41131811" w:rsidRPr="2ABE2D08">
        <w:rPr>
          <w:rFonts w:cs="Arial"/>
          <w:color w:val="auto"/>
        </w:rPr>
        <w:t xml:space="preserve">ouncil's financial and delivery interests. </w:t>
      </w:r>
    </w:p>
    <w:p w14:paraId="39265579" w14:textId="77777777" w:rsidR="002329CF" w:rsidRPr="00374858" w:rsidRDefault="63F8443F" w:rsidP="2ABE2D08">
      <w:pPr>
        <w:pStyle w:val="Heading1"/>
        <w:jc w:val="both"/>
      </w:pPr>
      <w:r>
        <w:t>Level of risk</w:t>
      </w:r>
    </w:p>
    <w:p w14:paraId="540F6C2E" w14:textId="77777777" w:rsidR="00DF40D5" w:rsidRPr="00B76DEC" w:rsidRDefault="397C8028" w:rsidP="2ABE2D08">
      <w:pPr>
        <w:pStyle w:val="ListParagraph"/>
        <w:jc w:val="both"/>
        <w:rPr>
          <w:rFonts w:cs="Arial"/>
          <w:color w:val="auto"/>
        </w:rPr>
      </w:pPr>
      <w:r>
        <w:t xml:space="preserve">Any risks inherent in this programme are already identified elsewhere, with actions to mitigate these detailed in the OCHL and HRA Business Plans and the Council’s Medium Term Financial Plan. </w:t>
      </w:r>
    </w:p>
    <w:p w14:paraId="103CC88A" w14:textId="02CCCC99" w:rsidR="00674ED5" w:rsidRPr="00374858" w:rsidRDefault="109FA5D1" w:rsidP="2ABE2D08">
      <w:pPr>
        <w:pStyle w:val="ListParagraph"/>
        <w:jc w:val="both"/>
        <w:rPr>
          <w:rFonts w:cs="Arial"/>
          <w:color w:val="auto"/>
        </w:rPr>
      </w:pPr>
      <w:r>
        <w:t xml:space="preserve">The </w:t>
      </w:r>
      <w:r w:rsidR="117CF3E6">
        <w:t>risk</w:t>
      </w:r>
      <w:r w:rsidR="10FFBDD9">
        <w:t>s</w:t>
      </w:r>
      <w:r w:rsidR="117CF3E6">
        <w:t xml:space="preserve"> </w:t>
      </w:r>
      <w:r w:rsidR="610CE9FD">
        <w:t>include</w:t>
      </w:r>
      <w:r w:rsidR="10FFBDD9">
        <w:t xml:space="preserve"> p</w:t>
      </w:r>
      <w:r w:rsidR="189CC74A">
        <w:t>otential cost overruns or visibilit</w:t>
      </w:r>
      <w:r w:rsidR="10FFBDD9">
        <w:t>y</w:t>
      </w:r>
      <w:r w:rsidR="189CC74A">
        <w:t xml:space="preserve">, and legal exposure if contracts are not appropriately </w:t>
      </w:r>
      <w:r w:rsidR="5349E2D0">
        <w:t>structured. These risks will be mitigated through detailed financial appraisals, use of established governance delegations, and legal oversight throughout procurement and contracting stages.</w:t>
      </w:r>
    </w:p>
    <w:p w14:paraId="2399E607" w14:textId="77777777" w:rsidR="002329CF" w:rsidRPr="00374858" w:rsidRDefault="63F8443F" w:rsidP="2ABE2D08">
      <w:pPr>
        <w:pStyle w:val="Heading1"/>
        <w:jc w:val="both"/>
      </w:pPr>
      <w:r>
        <w:t xml:space="preserve">Equalities impact </w:t>
      </w:r>
    </w:p>
    <w:p w14:paraId="28DC08B6" w14:textId="0147E9D6" w:rsidR="00FB3B71" w:rsidRPr="00374858" w:rsidRDefault="0ED4D0E0" w:rsidP="2ABE2D08">
      <w:pPr>
        <w:pStyle w:val="ListParagraph"/>
        <w:ind w:left="426" w:hanging="426"/>
        <w:jc w:val="both"/>
      </w:pPr>
      <w:r>
        <w:t>There are no adverse impacts in undertaking this activity, with the potential to improve provision for persons in housing need, through the provision of more affordable and accessible housing to better meet client needs.</w:t>
      </w:r>
    </w:p>
    <w:p w14:paraId="1C46F1C8" w14:textId="77777777" w:rsidR="00FB3B71" w:rsidRPr="00374858" w:rsidRDefault="4853289A" w:rsidP="2ABE2D08">
      <w:pPr>
        <w:pStyle w:val="bParagraphtext"/>
        <w:numPr>
          <w:ilvl w:val="0"/>
          <w:numId w:val="0"/>
        </w:numPr>
        <w:spacing w:before="240"/>
        <w:jc w:val="both"/>
      </w:pPr>
      <w:bookmarkStart w:id="1" w:name="_Hlk184712246"/>
      <w:r w:rsidRPr="2ABE2D08">
        <w:rPr>
          <w:b/>
          <w:bCs/>
        </w:rPr>
        <w:t>Carbon and Environmental Considerations</w:t>
      </w:r>
      <w:r w:rsidR="20DFC21C" w:rsidRPr="2ABE2D08">
        <w:rPr>
          <w:b/>
          <w:bCs/>
        </w:rPr>
        <w:t xml:space="preserve"> </w:t>
      </w:r>
    </w:p>
    <w:p w14:paraId="68B639F4" w14:textId="22D55D8D" w:rsidR="00FB3B71" w:rsidRPr="00374858" w:rsidRDefault="2CE41789" w:rsidP="003601D8">
      <w:pPr>
        <w:pStyle w:val="ListParagraph"/>
        <w:ind w:left="426" w:hanging="426"/>
        <w:jc w:val="both"/>
      </w:pPr>
      <w:r>
        <w:t xml:space="preserve">All development schemes delivered by </w:t>
      </w:r>
      <w:r w:rsidR="10AF6BFC">
        <w:t>the Council</w:t>
      </w:r>
      <w:r w:rsidR="469F43DC">
        <w:t xml:space="preserve"> </w:t>
      </w:r>
      <w:r>
        <w:t>/</w:t>
      </w:r>
      <w:r w:rsidR="469F43DC">
        <w:t xml:space="preserve"> </w:t>
      </w:r>
      <w:r>
        <w:t xml:space="preserve">OCHL are subject to high sustainability standards </w:t>
      </w:r>
      <w:r w:rsidR="18B6E948">
        <w:t>with the expectation that the</w:t>
      </w:r>
      <w:r w:rsidR="47A7CEA7">
        <w:t>y</w:t>
      </w:r>
      <w:r w:rsidR="18B6E948">
        <w:t xml:space="preserve"> exceed statutory (building) standards. </w:t>
      </w:r>
    </w:p>
    <w:bookmarkEnd w:id="1"/>
    <w:p w14:paraId="31DA3D9A" w14:textId="77777777" w:rsidR="00FB3B71" w:rsidRPr="00374858" w:rsidRDefault="00FB3B71" w:rsidP="2ABE2D08">
      <w:pPr>
        <w:pStyle w:val="bParagraphtext"/>
        <w:numPr>
          <w:ilvl w:val="0"/>
          <w:numId w:val="0"/>
        </w:numPr>
        <w:jc w:val="both"/>
        <w:rPr>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74858" w14:paraId="0FA94296" w14:textId="77777777" w:rsidTr="2ABE2D08">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374858" w:rsidRDefault="4A3C796E" w:rsidP="2ABE2D08">
            <w:pPr>
              <w:jc w:val="both"/>
              <w:rPr>
                <w:b/>
                <w:bCs/>
              </w:rPr>
            </w:pPr>
            <w:r w:rsidRPr="2ABE2D08">
              <w:rPr>
                <w:b/>
                <w:bCs/>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6BDECFDD" w:rsidR="00E87F7A" w:rsidRPr="00374858" w:rsidRDefault="7BE73F63" w:rsidP="2ABE2D08">
            <w:pPr>
              <w:jc w:val="both"/>
            </w:pPr>
            <w:r>
              <w:t>Dave Scholes</w:t>
            </w:r>
          </w:p>
        </w:tc>
      </w:tr>
      <w:tr w:rsidR="00DF093E" w:rsidRPr="00374858" w14:paraId="07A5B9C2" w14:textId="77777777" w:rsidTr="2ABE2D08">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374858" w:rsidRDefault="4A3C796E" w:rsidP="2ABE2D08">
            <w:pPr>
              <w:jc w:val="both"/>
            </w:pPr>
            <w:r>
              <w:t>Job title</w:t>
            </w:r>
          </w:p>
        </w:tc>
        <w:tc>
          <w:tcPr>
            <w:tcW w:w="4962" w:type="dxa"/>
            <w:tcBorders>
              <w:top w:val="single" w:sz="8" w:space="0" w:color="000000" w:themeColor="text1"/>
              <w:left w:val="nil"/>
              <w:bottom w:val="nil"/>
              <w:right w:val="single" w:sz="8" w:space="0" w:color="000000" w:themeColor="text1"/>
            </w:tcBorders>
          </w:tcPr>
          <w:p w14:paraId="3100D2DA" w14:textId="51BC324A" w:rsidR="00E87F7A" w:rsidRPr="00374858" w:rsidRDefault="7BE73F63" w:rsidP="2ABE2D08">
            <w:pPr>
              <w:jc w:val="both"/>
            </w:pPr>
            <w:r>
              <w:t>Affordable Housing Supply Corporate Lead</w:t>
            </w:r>
          </w:p>
        </w:tc>
      </w:tr>
      <w:tr w:rsidR="00DF093E" w:rsidRPr="00374858" w14:paraId="6DEB5543" w14:textId="77777777" w:rsidTr="2ABE2D08">
        <w:trPr>
          <w:cantSplit/>
          <w:trHeight w:val="396"/>
        </w:trPr>
        <w:tc>
          <w:tcPr>
            <w:tcW w:w="3969" w:type="dxa"/>
            <w:tcBorders>
              <w:top w:val="nil"/>
              <w:left w:val="single" w:sz="8" w:space="0" w:color="000000" w:themeColor="text1"/>
              <w:bottom w:val="nil"/>
              <w:right w:val="nil"/>
            </w:tcBorders>
          </w:tcPr>
          <w:p w14:paraId="7BD402AB" w14:textId="77777777" w:rsidR="00E87F7A" w:rsidRPr="00374858" w:rsidRDefault="4A3C796E" w:rsidP="2ABE2D08">
            <w:pPr>
              <w:jc w:val="both"/>
            </w:pPr>
            <w:r>
              <w:t>Service area or department</w:t>
            </w:r>
          </w:p>
        </w:tc>
        <w:tc>
          <w:tcPr>
            <w:tcW w:w="4962" w:type="dxa"/>
            <w:tcBorders>
              <w:top w:val="nil"/>
              <w:left w:val="nil"/>
              <w:bottom w:val="nil"/>
              <w:right w:val="single" w:sz="8" w:space="0" w:color="000000" w:themeColor="text1"/>
            </w:tcBorders>
          </w:tcPr>
          <w:p w14:paraId="0F7746FF" w14:textId="05FB0905" w:rsidR="00E87F7A" w:rsidRPr="00374858" w:rsidRDefault="7BE73F63" w:rsidP="2ABE2D08">
            <w:pPr>
              <w:jc w:val="both"/>
            </w:pPr>
            <w:r>
              <w:t>Regeneration, Economy and Sustainability</w:t>
            </w:r>
          </w:p>
        </w:tc>
      </w:tr>
      <w:tr w:rsidR="00DF093E" w:rsidRPr="00374858" w14:paraId="572FB489" w14:textId="77777777" w:rsidTr="2ABE2D08">
        <w:trPr>
          <w:cantSplit/>
          <w:trHeight w:val="396"/>
        </w:trPr>
        <w:tc>
          <w:tcPr>
            <w:tcW w:w="3969" w:type="dxa"/>
            <w:tcBorders>
              <w:top w:val="nil"/>
              <w:left w:val="single" w:sz="8" w:space="0" w:color="000000" w:themeColor="text1"/>
              <w:bottom w:val="nil"/>
              <w:right w:val="nil"/>
            </w:tcBorders>
          </w:tcPr>
          <w:p w14:paraId="7832E71E" w14:textId="77777777" w:rsidR="00E87F7A" w:rsidRPr="00374858" w:rsidRDefault="4A3C796E" w:rsidP="2ABE2D08">
            <w:pPr>
              <w:jc w:val="both"/>
            </w:pPr>
            <w:r>
              <w:t xml:space="preserve">Telephone </w:t>
            </w:r>
          </w:p>
        </w:tc>
        <w:tc>
          <w:tcPr>
            <w:tcW w:w="4962" w:type="dxa"/>
            <w:tcBorders>
              <w:top w:val="nil"/>
              <w:left w:val="nil"/>
              <w:bottom w:val="nil"/>
              <w:right w:val="single" w:sz="8" w:space="0" w:color="000000" w:themeColor="text1"/>
            </w:tcBorders>
          </w:tcPr>
          <w:p w14:paraId="53D96CCC" w14:textId="3F9F3AA2" w:rsidR="00E87F7A" w:rsidRPr="00374858" w:rsidRDefault="4A3C796E" w:rsidP="2ABE2D08">
            <w:pPr>
              <w:jc w:val="both"/>
            </w:pPr>
            <w:r>
              <w:t xml:space="preserve">01865 </w:t>
            </w:r>
            <w:r w:rsidR="7BE73F63">
              <w:t>252636</w:t>
            </w:r>
          </w:p>
        </w:tc>
      </w:tr>
      <w:tr w:rsidR="005570B5" w:rsidRPr="00374858" w14:paraId="40AEFD69" w14:textId="77777777" w:rsidTr="2ABE2D08">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374858" w:rsidRDefault="4A3C796E" w:rsidP="2ABE2D08">
            <w:pPr>
              <w:jc w:val="both"/>
            </w:pPr>
            <w:r>
              <w:lastRenderedPageBreak/>
              <w:t xml:space="preserve">e-mail </w:t>
            </w:r>
          </w:p>
        </w:tc>
        <w:tc>
          <w:tcPr>
            <w:tcW w:w="4962" w:type="dxa"/>
            <w:tcBorders>
              <w:top w:val="nil"/>
              <w:left w:val="nil"/>
              <w:bottom w:val="single" w:sz="8" w:space="0" w:color="000000" w:themeColor="text1"/>
              <w:right w:val="single" w:sz="8" w:space="0" w:color="000000" w:themeColor="text1"/>
            </w:tcBorders>
          </w:tcPr>
          <w:p w14:paraId="64C04F4C" w14:textId="067B5BB3" w:rsidR="00E87F7A" w:rsidRPr="00374858" w:rsidRDefault="7BE73F63" w:rsidP="2ABE2D08">
            <w:pPr>
              <w:jc w:val="both"/>
              <w:rPr>
                <w:rStyle w:val="Hyperlink"/>
                <w:color w:val="000000"/>
              </w:rPr>
            </w:pPr>
            <w:r w:rsidRPr="2ABE2D08">
              <w:rPr>
                <w:rStyle w:val="Hyperlink"/>
                <w:color w:val="000000" w:themeColor="text1"/>
              </w:rPr>
              <w:t>dscholes@oxford.gov.uk</w:t>
            </w:r>
          </w:p>
        </w:tc>
      </w:tr>
    </w:tbl>
    <w:p w14:paraId="1FE671BD" w14:textId="77777777" w:rsidR="004456DD" w:rsidRPr="009E51FC" w:rsidRDefault="004456DD" w:rsidP="2ABE2D08">
      <w:pPr>
        <w:jc w:val="both"/>
      </w:pPr>
    </w:p>
    <w:sectPr w:rsidR="004456DD" w:rsidRPr="009E51FC"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9505" w14:textId="77777777" w:rsidR="0065135C" w:rsidRDefault="0065135C" w:rsidP="004A6D2F">
      <w:r>
        <w:separator/>
      </w:r>
    </w:p>
  </w:endnote>
  <w:endnote w:type="continuationSeparator" w:id="0">
    <w:p w14:paraId="323A3AAA" w14:textId="77777777" w:rsidR="0065135C" w:rsidRDefault="0065135C" w:rsidP="004A6D2F">
      <w:r>
        <w:continuationSeparator/>
      </w:r>
    </w:p>
  </w:endnote>
  <w:endnote w:type="continuationNotice" w:id="1">
    <w:p w14:paraId="56AA0144" w14:textId="77777777" w:rsidR="0065135C" w:rsidRDefault="006513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A611" w14:textId="77777777" w:rsidR="0065135C" w:rsidRDefault="0065135C" w:rsidP="004A6D2F">
      <w:r>
        <w:separator/>
      </w:r>
    </w:p>
  </w:footnote>
  <w:footnote w:type="continuationSeparator" w:id="0">
    <w:p w14:paraId="48831AD2" w14:textId="77777777" w:rsidR="0065135C" w:rsidRDefault="0065135C" w:rsidP="004A6D2F">
      <w:r>
        <w:continuationSeparator/>
      </w:r>
    </w:p>
  </w:footnote>
  <w:footnote w:type="continuationNotice" w:id="1">
    <w:p w14:paraId="2E2E0F84" w14:textId="77777777" w:rsidR="0065135C" w:rsidRDefault="006513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1E5647"/>
    <w:multiLevelType w:val="hybridMultilevel"/>
    <w:tmpl w:val="376CA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9B71799"/>
    <w:multiLevelType w:val="hybridMultilevel"/>
    <w:tmpl w:val="FFFFFFFF"/>
    <w:lvl w:ilvl="0" w:tplc="5198A5C6">
      <w:start w:val="1"/>
      <w:numFmt w:val="decimal"/>
      <w:lvlText w:val="%1."/>
      <w:lvlJc w:val="left"/>
      <w:pPr>
        <w:ind w:left="720" w:hanging="360"/>
      </w:pPr>
    </w:lvl>
    <w:lvl w:ilvl="1" w:tplc="2D64D896">
      <w:start w:val="1"/>
      <w:numFmt w:val="lowerLetter"/>
      <w:lvlText w:val="%2."/>
      <w:lvlJc w:val="left"/>
      <w:pPr>
        <w:ind w:left="1440" w:hanging="360"/>
      </w:pPr>
    </w:lvl>
    <w:lvl w:ilvl="2" w:tplc="6CE4F4E4">
      <w:start w:val="1"/>
      <w:numFmt w:val="lowerRoman"/>
      <w:lvlText w:val="%3."/>
      <w:lvlJc w:val="right"/>
      <w:pPr>
        <w:ind w:left="2160" w:hanging="180"/>
      </w:pPr>
    </w:lvl>
    <w:lvl w:ilvl="3" w:tplc="8054B49C">
      <w:start w:val="1"/>
      <w:numFmt w:val="decimal"/>
      <w:lvlText w:val="%4."/>
      <w:lvlJc w:val="left"/>
      <w:pPr>
        <w:ind w:left="2880" w:hanging="360"/>
      </w:pPr>
    </w:lvl>
    <w:lvl w:ilvl="4" w:tplc="5EBCB988">
      <w:start w:val="1"/>
      <w:numFmt w:val="lowerLetter"/>
      <w:lvlText w:val="%5."/>
      <w:lvlJc w:val="left"/>
      <w:pPr>
        <w:ind w:left="3600" w:hanging="360"/>
      </w:pPr>
    </w:lvl>
    <w:lvl w:ilvl="5" w:tplc="1AF22A72">
      <w:start w:val="1"/>
      <w:numFmt w:val="lowerRoman"/>
      <w:lvlText w:val="%6."/>
      <w:lvlJc w:val="right"/>
      <w:pPr>
        <w:ind w:left="4320" w:hanging="180"/>
      </w:pPr>
    </w:lvl>
    <w:lvl w:ilvl="6" w:tplc="BACE26B4">
      <w:start w:val="1"/>
      <w:numFmt w:val="decimal"/>
      <w:lvlText w:val="%7."/>
      <w:lvlJc w:val="left"/>
      <w:pPr>
        <w:ind w:left="5040" w:hanging="360"/>
      </w:pPr>
    </w:lvl>
    <w:lvl w:ilvl="7" w:tplc="121E632A">
      <w:start w:val="1"/>
      <w:numFmt w:val="lowerLetter"/>
      <w:lvlText w:val="%8."/>
      <w:lvlJc w:val="left"/>
      <w:pPr>
        <w:ind w:left="5760" w:hanging="360"/>
      </w:pPr>
    </w:lvl>
    <w:lvl w:ilvl="8" w:tplc="C8A61880">
      <w:start w:val="1"/>
      <w:numFmt w:val="lowerRoman"/>
      <w:lvlText w:val="%9."/>
      <w:lvlJc w:val="right"/>
      <w:pPr>
        <w:ind w:left="6480" w:hanging="180"/>
      </w:pPr>
    </w:lvl>
  </w:abstractNum>
  <w:abstractNum w:abstractNumId="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8365C6"/>
    <w:multiLevelType w:val="multilevel"/>
    <w:tmpl w:val="84287D14"/>
    <w:lvl w:ilvl="0">
      <w:start w:val="1"/>
      <w:numFmt w:val="decimal"/>
      <w:pStyle w:val="ListParagraph"/>
      <w:lvlText w:val="%1."/>
      <w:lvlJc w:val="left"/>
      <w:pPr>
        <w:ind w:left="360" w:hanging="360"/>
      </w:pPr>
      <w:rPr>
        <w:rFonts w:ascii="Arial" w:hAnsi="Arial"/>
        <w:b w:val="0"/>
        <w:bCs w:val="0"/>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854030">
    <w:abstractNumId w:val="0"/>
  </w:num>
  <w:num w:numId="2" w16cid:durableId="80686129">
    <w:abstractNumId w:val="6"/>
    <w:lvlOverride w:ilvl="0">
      <w:lvl w:ilvl="0">
        <w:start w:val="1"/>
        <w:numFmt w:val="decimal"/>
        <w:pStyle w:val="ListParagraph"/>
        <w:lvlText w:val="%1."/>
        <w:lvlJc w:val="left"/>
        <w:pPr>
          <w:ind w:left="360" w:hanging="360"/>
        </w:pPr>
        <w:rPr>
          <w:rFonts w:ascii="Arial" w:hAnsi="Arial"/>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 w16cid:durableId="1009412161">
    <w:abstractNumId w:val="3"/>
  </w:num>
  <w:num w:numId="4" w16cid:durableId="2041280933">
    <w:abstractNumId w:val="1"/>
  </w:num>
  <w:num w:numId="5" w16cid:durableId="37707020">
    <w:abstractNumId w:val="5"/>
  </w:num>
  <w:num w:numId="6" w16cid:durableId="1981181062">
    <w:abstractNumId w:val="4"/>
  </w:num>
  <w:num w:numId="7" w16cid:durableId="458230797">
    <w:abstractNumId w:val="6"/>
  </w:num>
  <w:num w:numId="8" w16cid:durableId="2092962945">
    <w:abstractNumId w:val="6"/>
  </w:num>
  <w:num w:numId="9" w16cid:durableId="712002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252278">
    <w:abstractNumId w:val="6"/>
  </w:num>
  <w:num w:numId="11" w16cid:durableId="4621615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163A"/>
    <w:rsid w:val="000025CF"/>
    <w:rsid w:val="00003CCC"/>
    <w:rsid w:val="00004C43"/>
    <w:rsid w:val="00010FAC"/>
    <w:rsid w:val="000117D4"/>
    <w:rsid w:val="00013101"/>
    <w:rsid w:val="00013AA2"/>
    <w:rsid w:val="000141BE"/>
    <w:rsid w:val="0001679C"/>
    <w:rsid w:val="000173A0"/>
    <w:rsid w:val="00022C6E"/>
    <w:rsid w:val="00025250"/>
    <w:rsid w:val="000314D7"/>
    <w:rsid w:val="00032DED"/>
    <w:rsid w:val="000338EC"/>
    <w:rsid w:val="00034054"/>
    <w:rsid w:val="00035783"/>
    <w:rsid w:val="000416B8"/>
    <w:rsid w:val="00045F8B"/>
    <w:rsid w:val="00046D2B"/>
    <w:rsid w:val="00055F3E"/>
    <w:rsid w:val="00056222"/>
    <w:rsid w:val="0005623D"/>
    <w:rsid w:val="00056263"/>
    <w:rsid w:val="0006040C"/>
    <w:rsid w:val="00064D8A"/>
    <w:rsid w:val="00064F82"/>
    <w:rsid w:val="00065118"/>
    <w:rsid w:val="00066510"/>
    <w:rsid w:val="00076509"/>
    <w:rsid w:val="00077523"/>
    <w:rsid w:val="00082A81"/>
    <w:rsid w:val="00083525"/>
    <w:rsid w:val="00084355"/>
    <w:rsid w:val="00085824"/>
    <w:rsid w:val="00092328"/>
    <w:rsid w:val="00094FC0"/>
    <w:rsid w:val="00097794"/>
    <w:rsid w:val="00097AF9"/>
    <w:rsid w:val="000B047B"/>
    <w:rsid w:val="000B1DFC"/>
    <w:rsid w:val="000B1FE0"/>
    <w:rsid w:val="000B561C"/>
    <w:rsid w:val="000B711E"/>
    <w:rsid w:val="000C089F"/>
    <w:rsid w:val="000C23FD"/>
    <w:rsid w:val="000C3928"/>
    <w:rsid w:val="000C59B9"/>
    <w:rsid w:val="000C5E8E"/>
    <w:rsid w:val="000C6EA0"/>
    <w:rsid w:val="000E035E"/>
    <w:rsid w:val="000E0A1B"/>
    <w:rsid w:val="000E356E"/>
    <w:rsid w:val="000E4DD6"/>
    <w:rsid w:val="000E7E72"/>
    <w:rsid w:val="000ED3E0"/>
    <w:rsid w:val="000F08CD"/>
    <w:rsid w:val="000F2D30"/>
    <w:rsid w:val="000F4751"/>
    <w:rsid w:val="00101078"/>
    <w:rsid w:val="00104969"/>
    <w:rsid w:val="0010524C"/>
    <w:rsid w:val="001057FF"/>
    <w:rsid w:val="00107FE6"/>
    <w:rsid w:val="0010ECB9"/>
    <w:rsid w:val="0011070D"/>
    <w:rsid w:val="00111FB1"/>
    <w:rsid w:val="00113418"/>
    <w:rsid w:val="00114F76"/>
    <w:rsid w:val="00121A8B"/>
    <w:rsid w:val="00122B37"/>
    <w:rsid w:val="00123C28"/>
    <w:rsid w:val="00124B54"/>
    <w:rsid w:val="00125F86"/>
    <w:rsid w:val="001261C4"/>
    <w:rsid w:val="001334A9"/>
    <w:rsid w:val="00133BEB"/>
    <w:rsid w:val="00134417"/>
    <w:rsid w:val="001356F1"/>
    <w:rsid w:val="001357A9"/>
    <w:rsid w:val="00136679"/>
    <w:rsid w:val="00136994"/>
    <w:rsid w:val="0014128E"/>
    <w:rsid w:val="00145D8F"/>
    <w:rsid w:val="001500AB"/>
    <w:rsid w:val="0015170D"/>
    <w:rsid w:val="00151888"/>
    <w:rsid w:val="00154095"/>
    <w:rsid w:val="00154691"/>
    <w:rsid w:val="00155322"/>
    <w:rsid w:val="00160E77"/>
    <w:rsid w:val="00162084"/>
    <w:rsid w:val="001705B3"/>
    <w:rsid w:val="00170A2D"/>
    <w:rsid w:val="001714D7"/>
    <w:rsid w:val="00175DA7"/>
    <w:rsid w:val="001808BC"/>
    <w:rsid w:val="00182B81"/>
    <w:rsid w:val="00182BF1"/>
    <w:rsid w:val="0018494D"/>
    <w:rsid w:val="0018619D"/>
    <w:rsid w:val="0019712D"/>
    <w:rsid w:val="00197196"/>
    <w:rsid w:val="001A011E"/>
    <w:rsid w:val="001A066A"/>
    <w:rsid w:val="001A13E6"/>
    <w:rsid w:val="001A5731"/>
    <w:rsid w:val="001B03CD"/>
    <w:rsid w:val="001B3689"/>
    <w:rsid w:val="001B42C3"/>
    <w:rsid w:val="001B56F8"/>
    <w:rsid w:val="001B5DB5"/>
    <w:rsid w:val="001C12D1"/>
    <w:rsid w:val="001C1BBB"/>
    <w:rsid w:val="001C37A8"/>
    <w:rsid w:val="001C5D5E"/>
    <w:rsid w:val="001D4359"/>
    <w:rsid w:val="001D678D"/>
    <w:rsid w:val="001E03F8"/>
    <w:rsid w:val="001E1678"/>
    <w:rsid w:val="001E289E"/>
    <w:rsid w:val="001E2E80"/>
    <w:rsid w:val="001E3376"/>
    <w:rsid w:val="00205C9F"/>
    <w:rsid w:val="00206892"/>
    <w:rsid w:val="002069B3"/>
    <w:rsid w:val="00210215"/>
    <w:rsid w:val="00210668"/>
    <w:rsid w:val="002179B7"/>
    <w:rsid w:val="002223B1"/>
    <w:rsid w:val="00226E18"/>
    <w:rsid w:val="002312EA"/>
    <w:rsid w:val="002329CF"/>
    <w:rsid w:val="00232F5B"/>
    <w:rsid w:val="00235EA2"/>
    <w:rsid w:val="002372E5"/>
    <w:rsid w:val="00237833"/>
    <w:rsid w:val="00241F23"/>
    <w:rsid w:val="00243EDA"/>
    <w:rsid w:val="00247C29"/>
    <w:rsid w:val="0025FF13"/>
    <w:rsid w:val="00260467"/>
    <w:rsid w:val="00260F4D"/>
    <w:rsid w:val="0026245A"/>
    <w:rsid w:val="00263EA3"/>
    <w:rsid w:val="00271E00"/>
    <w:rsid w:val="0028308B"/>
    <w:rsid w:val="00284F85"/>
    <w:rsid w:val="002870C3"/>
    <w:rsid w:val="00290915"/>
    <w:rsid w:val="00292248"/>
    <w:rsid w:val="0029637F"/>
    <w:rsid w:val="00296F0F"/>
    <w:rsid w:val="002A22E2"/>
    <w:rsid w:val="002B2979"/>
    <w:rsid w:val="002B6836"/>
    <w:rsid w:val="002C0788"/>
    <w:rsid w:val="002C21E4"/>
    <w:rsid w:val="002C3994"/>
    <w:rsid w:val="002C64F7"/>
    <w:rsid w:val="002D3D81"/>
    <w:rsid w:val="002D674E"/>
    <w:rsid w:val="002D709D"/>
    <w:rsid w:val="002D7EF0"/>
    <w:rsid w:val="002E0EDE"/>
    <w:rsid w:val="002E2FB7"/>
    <w:rsid w:val="002F41F2"/>
    <w:rsid w:val="002F6805"/>
    <w:rsid w:val="00301BF3"/>
    <w:rsid w:val="0030208D"/>
    <w:rsid w:val="00303716"/>
    <w:rsid w:val="00305D5B"/>
    <w:rsid w:val="003104E9"/>
    <w:rsid w:val="00313248"/>
    <w:rsid w:val="0031702C"/>
    <w:rsid w:val="003226E4"/>
    <w:rsid w:val="00323418"/>
    <w:rsid w:val="00323D6A"/>
    <w:rsid w:val="00324464"/>
    <w:rsid w:val="00326C40"/>
    <w:rsid w:val="003357BF"/>
    <w:rsid w:val="0033585A"/>
    <w:rsid w:val="00337080"/>
    <w:rsid w:val="00344D85"/>
    <w:rsid w:val="00345AF9"/>
    <w:rsid w:val="003522DB"/>
    <w:rsid w:val="003534A3"/>
    <w:rsid w:val="00354DAE"/>
    <w:rsid w:val="00356E64"/>
    <w:rsid w:val="00360056"/>
    <w:rsid w:val="003601D8"/>
    <w:rsid w:val="00364FAD"/>
    <w:rsid w:val="0036738F"/>
    <w:rsid w:val="0036759C"/>
    <w:rsid w:val="00367AE5"/>
    <w:rsid w:val="00367D71"/>
    <w:rsid w:val="003735F7"/>
    <w:rsid w:val="00374858"/>
    <w:rsid w:val="00376EDB"/>
    <w:rsid w:val="003777DA"/>
    <w:rsid w:val="0038150A"/>
    <w:rsid w:val="00384483"/>
    <w:rsid w:val="003865FA"/>
    <w:rsid w:val="003940EE"/>
    <w:rsid w:val="003A4DCE"/>
    <w:rsid w:val="003A7177"/>
    <w:rsid w:val="003B19CC"/>
    <w:rsid w:val="003B3106"/>
    <w:rsid w:val="003B6B22"/>
    <w:rsid w:val="003B6E75"/>
    <w:rsid w:val="003B7DA1"/>
    <w:rsid w:val="003C194A"/>
    <w:rsid w:val="003C7CBD"/>
    <w:rsid w:val="003D0379"/>
    <w:rsid w:val="003D2574"/>
    <w:rsid w:val="003D4C59"/>
    <w:rsid w:val="003D7B41"/>
    <w:rsid w:val="003E373C"/>
    <w:rsid w:val="003E48A7"/>
    <w:rsid w:val="003F02A9"/>
    <w:rsid w:val="003F1199"/>
    <w:rsid w:val="003F4267"/>
    <w:rsid w:val="003F42DC"/>
    <w:rsid w:val="003F4EAA"/>
    <w:rsid w:val="00400633"/>
    <w:rsid w:val="00402014"/>
    <w:rsid w:val="004022CB"/>
    <w:rsid w:val="0040343B"/>
    <w:rsid w:val="00403C57"/>
    <w:rsid w:val="00404032"/>
    <w:rsid w:val="0040736F"/>
    <w:rsid w:val="00412C1F"/>
    <w:rsid w:val="00416AE7"/>
    <w:rsid w:val="00421CB2"/>
    <w:rsid w:val="004235FD"/>
    <w:rsid w:val="00423F7A"/>
    <w:rsid w:val="004264A7"/>
    <w:rsid w:val="004268B9"/>
    <w:rsid w:val="00427D91"/>
    <w:rsid w:val="00431438"/>
    <w:rsid w:val="004336E6"/>
    <w:rsid w:val="00433B96"/>
    <w:rsid w:val="00437260"/>
    <w:rsid w:val="00441183"/>
    <w:rsid w:val="004425B4"/>
    <w:rsid w:val="004440F1"/>
    <w:rsid w:val="004456DD"/>
    <w:rsid w:val="00446CDF"/>
    <w:rsid w:val="00450668"/>
    <w:rsid w:val="004521B7"/>
    <w:rsid w:val="00453C6B"/>
    <w:rsid w:val="0045407D"/>
    <w:rsid w:val="004548E0"/>
    <w:rsid w:val="00454FB6"/>
    <w:rsid w:val="00455A9F"/>
    <w:rsid w:val="00462AB5"/>
    <w:rsid w:val="00462D22"/>
    <w:rsid w:val="004649E9"/>
    <w:rsid w:val="00465EAF"/>
    <w:rsid w:val="00467265"/>
    <w:rsid w:val="00471675"/>
    <w:rsid w:val="0047277C"/>
    <w:rsid w:val="004738C5"/>
    <w:rsid w:val="0047737B"/>
    <w:rsid w:val="00480F06"/>
    <w:rsid w:val="00484735"/>
    <w:rsid w:val="00487B0C"/>
    <w:rsid w:val="00490EEF"/>
    <w:rsid w:val="00491046"/>
    <w:rsid w:val="00491C5C"/>
    <w:rsid w:val="00496078"/>
    <w:rsid w:val="00496150"/>
    <w:rsid w:val="0049740C"/>
    <w:rsid w:val="00497BD7"/>
    <w:rsid w:val="004A2AC7"/>
    <w:rsid w:val="004A4168"/>
    <w:rsid w:val="004A4D7E"/>
    <w:rsid w:val="004A53BF"/>
    <w:rsid w:val="004A6D2F"/>
    <w:rsid w:val="004B06CD"/>
    <w:rsid w:val="004B11AE"/>
    <w:rsid w:val="004B12AB"/>
    <w:rsid w:val="004B3B80"/>
    <w:rsid w:val="004B66E7"/>
    <w:rsid w:val="004C030D"/>
    <w:rsid w:val="004C2887"/>
    <w:rsid w:val="004C543E"/>
    <w:rsid w:val="004C6EA7"/>
    <w:rsid w:val="004D134C"/>
    <w:rsid w:val="004D2626"/>
    <w:rsid w:val="004D6E26"/>
    <w:rsid w:val="004D721F"/>
    <w:rsid w:val="004D7690"/>
    <w:rsid w:val="004D77D3"/>
    <w:rsid w:val="004E2959"/>
    <w:rsid w:val="004E34A6"/>
    <w:rsid w:val="004F20EF"/>
    <w:rsid w:val="004F3C2D"/>
    <w:rsid w:val="0050321C"/>
    <w:rsid w:val="0050688D"/>
    <w:rsid w:val="00507ECC"/>
    <w:rsid w:val="00510DD0"/>
    <w:rsid w:val="00521AAA"/>
    <w:rsid w:val="00527A00"/>
    <w:rsid w:val="00527B89"/>
    <w:rsid w:val="0053312F"/>
    <w:rsid w:val="00535F4D"/>
    <w:rsid w:val="00542D30"/>
    <w:rsid w:val="0054712D"/>
    <w:rsid w:val="005472E5"/>
    <w:rsid w:val="00547EF6"/>
    <w:rsid w:val="005570B5"/>
    <w:rsid w:val="005649F9"/>
    <w:rsid w:val="00567E18"/>
    <w:rsid w:val="00570EA3"/>
    <w:rsid w:val="0057320C"/>
    <w:rsid w:val="00574D4F"/>
    <w:rsid w:val="00575F5F"/>
    <w:rsid w:val="00576214"/>
    <w:rsid w:val="0057654C"/>
    <w:rsid w:val="005775FA"/>
    <w:rsid w:val="00581805"/>
    <w:rsid w:val="00585F76"/>
    <w:rsid w:val="0059387B"/>
    <w:rsid w:val="005942D0"/>
    <w:rsid w:val="005A01D0"/>
    <w:rsid w:val="005A33E1"/>
    <w:rsid w:val="005A34E4"/>
    <w:rsid w:val="005A6610"/>
    <w:rsid w:val="005A6E92"/>
    <w:rsid w:val="005A7989"/>
    <w:rsid w:val="005B03D3"/>
    <w:rsid w:val="005B099B"/>
    <w:rsid w:val="005B17F2"/>
    <w:rsid w:val="005B1A54"/>
    <w:rsid w:val="005B7FB0"/>
    <w:rsid w:val="005C35A5"/>
    <w:rsid w:val="005C35B7"/>
    <w:rsid w:val="005C4294"/>
    <w:rsid w:val="005C5591"/>
    <w:rsid w:val="005C577C"/>
    <w:rsid w:val="005D0621"/>
    <w:rsid w:val="005D08D7"/>
    <w:rsid w:val="005D1E27"/>
    <w:rsid w:val="005D213E"/>
    <w:rsid w:val="005D2A37"/>
    <w:rsid w:val="005D2A3E"/>
    <w:rsid w:val="005D317A"/>
    <w:rsid w:val="005D56DB"/>
    <w:rsid w:val="005D7CBD"/>
    <w:rsid w:val="005E022E"/>
    <w:rsid w:val="005E5215"/>
    <w:rsid w:val="005E6642"/>
    <w:rsid w:val="005E6F4B"/>
    <w:rsid w:val="005E7D0A"/>
    <w:rsid w:val="005F0B2B"/>
    <w:rsid w:val="005F3330"/>
    <w:rsid w:val="005F36C6"/>
    <w:rsid w:val="005F4974"/>
    <w:rsid w:val="005F4E4C"/>
    <w:rsid w:val="005F6FE8"/>
    <w:rsid w:val="005F7F7E"/>
    <w:rsid w:val="00600214"/>
    <w:rsid w:val="0060784F"/>
    <w:rsid w:val="00607E6E"/>
    <w:rsid w:val="00610FEA"/>
    <w:rsid w:val="00614693"/>
    <w:rsid w:val="00614A32"/>
    <w:rsid w:val="00623C2F"/>
    <w:rsid w:val="0062466A"/>
    <w:rsid w:val="00626709"/>
    <w:rsid w:val="006269DF"/>
    <w:rsid w:val="00631C4F"/>
    <w:rsid w:val="00633578"/>
    <w:rsid w:val="006347A2"/>
    <w:rsid w:val="00636ED2"/>
    <w:rsid w:val="00637068"/>
    <w:rsid w:val="00642800"/>
    <w:rsid w:val="00642DD8"/>
    <w:rsid w:val="00644BE9"/>
    <w:rsid w:val="00645D29"/>
    <w:rsid w:val="00650811"/>
    <w:rsid w:val="0065135C"/>
    <w:rsid w:val="00651F27"/>
    <w:rsid w:val="00655339"/>
    <w:rsid w:val="00661D3E"/>
    <w:rsid w:val="00670CC2"/>
    <w:rsid w:val="00674133"/>
    <w:rsid w:val="00674ED5"/>
    <w:rsid w:val="00692627"/>
    <w:rsid w:val="006969E7"/>
    <w:rsid w:val="006A16B2"/>
    <w:rsid w:val="006A3295"/>
    <w:rsid w:val="006A3643"/>
    <w:rsid w:val="006A6BE0"/>
    <w:rsid w:val="006B10C2"/>
    <w:rsid w:val="006B7A84"/>
    <w:rsid w:val="006C1419"/>
    <w:rsid w:val="006C2A29"/>
    <w:rsid w:val="006C64CF"/>
    <w:rsid w:val="006C6F90"/>
    <w:rsid w:val="006D0CF0"/>
    <w:rsid w:val="006D17B1"/>
    <w:rsid w:val="006D4752"/>
    <w:rsid w:val="006D708A"/>
    <w:rsid w:val="006E14C1"/>
    <w:rsid w:val="006E2E9E"/>
    <w:rsid w:val="006E4343"/>
    <w:rsid w:val="006F0292"/>
    <w:rsid w:val="006F27FA"/>
    <w:rsid w:val="006F416B"/>
    <w:rsid w:val="006F519B"/>
    <w:rsid w:val="006F5C95"/>
    <w:rsid w:val="00701CD6"/>
    <w:rsid w:val="00712D57"/>
    <w:rsid w:val="00713675"/>
    <w:rsid w:val="00715823"/>
    <w:rsid w:val="00720649"/>
    <w:rsid w:val="00721B02"/>
    <w:rsid w:val="00722576"/>
    <w:rsid w:val="0072449C"/>
    <w:rsid w:val="007253EF"/>
    <w:rsid w:val="00725F9F"/>
    <w:rsid w:val="00726A82"/>
    <w:rsid w:val="00736ADB"/>
    <w:rsid w:val="00737B93"/>
    <w:rsid w:val="00741ACA"/>
    <w:rsid w:val="0074348B"/>
    <w:rsid w:val="00745BF0"/>
    <w:rsid w:val="00745BF4"/>
    <w:rsid w:val="00750A19"/>
    <w:rsid w:val="00751EA3"/>
    <w:rsid w:val="00752EE2"/>
    <w:rsid w:val="00757EE7"/>
    <w:rsid w:val="007615FE"/>
    <w:rsid w:val="007651C3"/>
    <w:rsid w:val="0076530C"/>
    <w:rsid w:val="0076655C"/>
    <w:rsid w:val="00771DD6"/>
    <w:rsid w:val="007742DC"/>
    <w:rsid w:val="0078664C"/>
    <w:rsid w:val="00791437"/>
    <w:rsid w:val="00794D21"/>
    <w:rsid w:val="00795018"/>
    <w:rsid w:val="007954C3"/>
    <w:rsid w:val="0079797D"/>
    <w:rsid w:val="007A141C"/>
    <w:rsid w:val="007A3798"/>
    <w:rsid w:val="007B0C2C"/>
    <w:rsid w:val="007B1144"/>
    <w:rsid w:val="007B2619"/>
    <w:rsid w:val="007B278E"/>
    <w:rsid w:val="007B5CA2"/>
    <w:rsid w:val="007B6AB8"/>
    <w:rsid w:val="007C08C1"/>
    <w:rsid w:val="007C11E2"/>
    <w:rsid w:val="007C4822"/>
    <w:rsid w:val="007C5C23"/>
    <w:rsid w:val="007C672D"/>
    <w:rsid w:val="007C782D"/>
    <w:rsid w:val="007D14A8"/>
    <w:rsid w:val="007D2381"/>
    <w:rsid w:val="007D2DAF"/>
    <w:rsid w:val="007D4A61"/>
    <w:rsid w:val="007D7363"/>
    <w:rsid w:val="007D7ED9"/>
    <w:rsid w:val="007E2A26"/>
    <w:rsid w:val="007F2348"/>
    <w:rsid w:val="007F4757"/>
    <w:rsid w:val="00801159"/>
    <w:rsid w:val="00803F07"/>
    <w:rsid w:val="0080749A"/>
    <w:rsid w:val="00811756"/>
    <w:rsid w:val="00811E2C"/>
    <w:rsid w:val="00817500"/>
    <w:rsid w:val="00821FB8"/>
    <w:rsid w:val="00822ACD"/>
    <w:rsid w:val="00831C95"/>
    <w:rsid w:val="0083409C"/>
    <w:rsid w:val="008475A5"/>
    <w:rsid w:val="00847749"/>
    <w:rsid w:val="00847BB7"/>
    <w:rsid w:val="00854597"/>
    <w:rsid w:val="008554D8"/>
    <w:rsid w:val="00855A9A"/>
    <w:rsid w:val="00855C66"/>
    <w:rsid w:val="00855D2F"/>
    <w:rsid w:val="00865502"/>
    <w:rsid w:val="0086692F"/>
    <w:rsid w:val="00866A5F"/>
    <w:rsid w:val="00871EE4"/>
    <w:rsid w:val="00873629"/>
    <w:rsid w:val="00873AB3"/>
    <w:rsid w:val="0088015E"/>
    <w:rsid w:val="008836D7"/>
    <w:rsid w:val="00884CB7"/>
    <w:rsid w:val="0088729F"/>
    <w:rsid w:val="00895274"/>
    <w:rsid w:val="008954DF"/>
    <w:rsid w:val="008956A6"/>
    <w:rsid w:val="008B293F"/>
    <w:rsid w:val="008B3A3F"/>
    <w:rsid w:val="008B7371"/>
    <w:rsid w:val="008C4C83"/>
    <w:rsid w:val="008C5B8D"/>
    <w:rsid w:val="008C5CE1"/>
    <w:rsid w:val="008D0C8D"/>
    <w:rsid w:val="008D3DDB"/>
    <w:rsid w:val="008D5D75"/>
    <w:rsid w:val="008D6065"/>
    <w:rsid w:val="008E0C04"/>
    <w:rsid w:val="008E23AB"/>
    <w:rsid w:val="008E2E42"/>
    <w:rsid w:val="008E4BDC"/>
    <w:rsid w:val="008E691F"/>
    <w:rsid w:val="008F0996"/>
    <w:rsid w:val="008F2F53"/>
    <w:rsid w:val="008F3B04"/>
    <w:rsid w:val="008F52FA"/>
    <w:rsid w:val="008F573F"/>
    <w:rsid w:val="008F6C5A"/>
    <w:rsid w:val="00902E8B"/>
    <w:rsid w:val="009034EC"/>
    <w:rsid w:val="00903520"/>
    <w:rsid w:val="0090363E"/>
    <w:rsid w:val="00903645"/>
    <w:rsid w:val="0090440D"/>
    <w:rsid w:val="00906E6A"/>
    <w:rsid w:val="009078C1"/>
    <w:rsid w:val="00910AE9"/>
    <w:rsid w:val="009156BA"/>
    <w:rsid w:val="0091629A"/>
    <w:rsid w:val="0093061D"/>
    <w:rsid w:val="0093067A"/>
    <w:rsid w:val="00932374"/>
    <w:rsid w:val="009348E9"/>
    <w:rsid w:val="009410CA"/>
    <w:rsid w:val="00941C60"/>
    <w:rsid w:val="00941FD1"/>
    <w:rsid w:val="00943FDC"/>
    <w:rsid w:val="00950824"/>
    <w:rsid w:val="00957418"/>
    <w:rsid w:val="00960C4C"/>
    <w:rsid w:val="009620E9"/>
    <w:rsid w:val="00964AA5"/>
    <w:rsid w:val="0096668D"/>
    <w:rsid w:val="00966D42"/>
    <w:rsid w:val="00971689"/>
    <w:rsid w:val="0097170F"/>
    <w:rsid w:val="00972749"/>
    <w:rsid w:val="00973E90"/>
    <w:rsid w:val="00975B07"/>
    <w:rsid w:val="00977FC0"/>
    <w:rsid w:val="009804C3"/>
    <w:rsid w:val="00980B4A"/>
    <w:rsid w:val="00982C4E"/>
    <w:rsid w:val="00983633"/>
    <w:rsid w:val="00983958"/>
    <w:rsid w:val="00984873"/>
    <w:rsid w:val="00987BC4"/>
    <w:rsid w:val="0099155E"/>
    <w:rsid w:val="00994C78"/>
    <w:rsid w:val="009972F7"/>
    <w:rsid w:val="009A7A40"/>
    <w:rsid w:val="009A7F7B"/>
    <w:rsid w:val="009B3E8A"/>
    <w:rsid w:val="009C4B1E"/>
    <w:rsid w:val="009C6DD5"/>
    <w:rsid w:val="009D0292"/>
    <w:rsid w:val="009D3E46"/>
    <w:rsid w:val="009D763D"/>
    <w:rsid w:val="009E14F8"/>
    <w:rsid w:val="009E30E2"/>
    <w:rsid w:val="009E3D0A"/>
    <w:rsid w:val="009E3DE1"/>
    <w:rsid w:val="009E3E39"/>
    <w:rsid w:val="009E51FC"/>
    <w:rsid w:val="009E59F8"/>
    <w:rsid w:val="009E64F8"/>
    <w:rsid w:val="009E69AE"/>
    <w:rsid w:val="009E71D3"/>
    <w:rsid w:val="009F0E43"/>
    <w:rsid w:val="009F1776"/>
    <w:rsid w:val="009F1D28"/>
    <w:rsid w:val="009F4649"/>
    <w:rsid w:val="009F4B2C"/>
    <w:rsid w:val="009F7618"/>
    <w:rsid w:val="00A04D23"/>
    <w:rsid w:val="00A06766"/>
    <w:rsid w:val="00A06BB8"/>
    <w:rsid w:val="00A06C8F"/>
    <w:rsid w:val="00A12F8E"/>
    <w:rsid w:val="00A13765"/>
    <w:rsid w:val="00A21B12"/>
    <w:rsid w:val="00A23F80"/>
    <w:rsid w:val="00A24813"/>
    <w:rsid w:val="00A248D6"/>
    <w:rsid w:val="00A36D4F"/>
    <w:rsid w:val="00A411A1"/>
    <w:rsid w:val="00A42939"/>
    <w:rsid w:val="00A42B77"/>
    <w:rsid w:val="00A46E98"/>
    <w:rsid w:val="00A46ED9"/>
    <w:rsid w:val="00A50CA5"/>
    <w:rsid w:val="00A52074"/>
    <w:rsid w:val="00A6352B"/>
    <w:rsid w:val="00A64027"/>
    <w:rsid w:val="00A669FC"/>
    <w:rsid w:val="00A701B5"/>
    <w:rsid w:val="00A714BB"/>
    <w:rsid w:val="00A72B7D"/>
    <w:rsid w:val="00A77147"/>
    <w:rsid w:val="00A810BD"/>
    <w:rsid w:val="00A87B96"/>
    <w:rsid w:val="00A90856"/>
    <w:rsid w:val="00A92D8F"/>
    <w:rsid w:val="00A96686"/>
    <w:rsid w:val="00AA1527"/>
    <w:rsid w:val="00AA3ABD"/>
    <w:rsid w:val="00AA3B65"/>
    <w:rsid w:val="00AA6021"/>
    <w:rsid w:val="00AB1948"/>
    <w:rsid w:val="00AB2988"/>
    <w:rsid w:val="00AB7999"/>
    <w:rsid w:val="00AC2388"/>
    <w:rsid w:val="00AC240E"/>
    <w:rsid w:val="00AC674F"/>
    <w:rsid w:val="00AD0BD6"/>
    <w:rsid w:val="00AD0F2B"/>
    <w:rsid w:val="00AD3292"/>
    <w:rsid w:val="00AD3EC6"/>
    <w:rsid w:val="00AD548A"/>
    <w:rsid w:val="00AE1684"/>
    <w:rsid w:val="00AE1DE9"/>
    <w:rsid w:val="00AE75DC"/>
    <w:rsid w:val="00AE7AF0"/>
    <w:rsid w:val="00AF6D13"/>
    <w:rsid w:val="00B000AF"/>
    <w:rsid w:val="00B0328C"/>
    <w:rsid w:val="00B23812"/>
    <w:rsid w:val="00B30AFC"/>
    <w:rsid w:val="00B335D1"/>
    <w:rsid w:val="00B42BE0"/>
    <w:rsid w:val="00B46B65"/>
    <w:rsid w:val="00B4719E"/>
    <w:rsid w:val="00B500CA"/>
    <w:rsid w:val="00B55B7F"/>
    <w:rsid w:val="00B565BD"/>
    <w:rsid w:val="00B6389E"/>
    <w:rsid w:val="00B65FAC"/>
    <w:rsid w:val="00B742FB"/>
    <w:rsid w:val="00B76DEC"/>
    <w:rsid w:val="00B77B00"/>
    <w:rsid w:val="00B84029"/>
    <w:rsid w:val="00B86314"/>
    <w:rsid w:val="00B92E65"/>
    <w:rsid w:val="00BA06EE"/>
    <w:rsid w:val="00BA1C2E"/>
    <w:rsid w:val="00BA3AEC"/>
    <w:rsid w:val="00BA73EA"/>
    <w:rsid w:val="00BA780C"/>
    <w:rsid w:val="00BA7CDB"/>
    <w:rsid w:val="00BB6000"/>
    <w:rsid w:val="00BC200B"/>
    <w:rsid w:val="00BC4756"/>
    <w:rsid w:val="00BC6550"/>
    <w:rsid w:val="00BC69A4"/>
    <w:rsid w:val="00BD45AA"/>
    <w:rsid w:val="00BD48CE"/>
    <w:rsid w:val="00BD4C3D"/>
    <w:rsid w:val="00BD6181"/>
    <w:rsid w:val="00BD75CF"/>
    <w:rsid w:val="00BE0680"/>
    <w:rsid w:val="00BE305F"/>
    <w:rsid w:val="00BE7BA3"/>
    <w:rsid w:val="00BF2E87"/>
    <w:rsid w:val="00BF3870"/>
    <w:rsid w:val="00BF441F"/>
    <w:rsid w:val="00BF5682"/>
    <w:rsid w:val="00BF6A41"/>
    <w:rsid w:val="00BF7B09"/>
    <w:rsid w:val="00C01CD6"/>
    <w:rsid w:val="00C030CC"/>
    <w:rsid w:val="00C03E53"/>
    <w:rsid w:val="00C05260"/>
    <w:rsid w:val="00C076B9"/>
    <w:rsid w:val="00C1476A"/>
    <w:rsid w:val="00C20A95"/>
    <w:rsid w:val="00C2692F"/>
    <w:rsid w:val="00C27E05"/>
    <w:rsid w:val="00C3207C"/>
    <w:rsid w:val="00C34491"/>
    <w:rsid w:val="00C35F4B"/>
    <w:rsid w:val="00C3650B"/>
    <w:rsid w:val="00C36702"/>
    <w:rsid w:val="00C400E1"/>
    <w:rsid w:val="00C41187"/>
    <w:rsid w:val="00C418DB"/>
    <w:rsid w:val="00C422C4"/>
    <w:rsid w:val="00C43B7E"/>
    <w:rsid w:val="00C445E7"/>
    <w:rsid w:val="00C44711"/>
    <w:rsid w:val="00C44FE4"/>
    <w:rsid w:val="00C45E40"/>
    <w:rsid w:val="00C504B3"/>
    <w:rsid w:val="00C51603"/>
    <w:rsid w:val="00C63C31"/>
    <w:rsid w:val="00C757A0"/>
    <w:rsid w:val="00C760DE"/>
    <w:rsid w:val="00C80EDF"/>
    <w:rsid w:val="00C82630"/>
    <w:rsid w:val="00C85B4E"/>
    <w:rsid w:val="00C907F7"/>
    <w:rsid w:val="00CA2103"/>
    <w:rsid w:val="00CA43E2"/>
    <w:rsid w:val="00CA6AC5"/>
    <w:rsid w:val="00CA6BD3"/>
    <w:rsid w:val="00CB21E8"/>
    <w:rsid w:val="00CB6AE7"/>
    <w:rsid w:val="00CB6B99"/>
    <w:rsid w:val="00CB7578"/>
    <w:rsid w:val="00CC17D8"/>
    <w:rsid w:val="00CC1DA1"/>
    <w:rsid w:val="00CC5EA8"/>
    <w:rsid w:val="00CC7EF7"/>
    <w:rsid w:val="00CD1156"/>
    <w:rsid w:val="00CE0322"/>
    <w:rsid w:val="00CE324F"/>
    <w:rsid w:val="00CE46EE"/>
    <w:rsid w:val="00CE4C87"/>
    <w:rsid w:val="00CE544A"/>
    <w:rsid w:val="00CE6139"/>
    <w:rsid w:val="00CF12E0"/>
    <w:rsid w:val="00CF13A9"/>
    <w:rsid w:val="00CF39D9"/>
    <w:rsid w:val="00CF3EC5"/>
    <w:rsid w:val="00CF420B"/>
    <w:rsid w:val="00CF5C24"/>
    <w:rsid w:val="00D01B83"/>
    <w:rsid w:val="00D0260E"/>
    <w:rsid w:val="00D11E1C"/>
    <w:rsid w:val="00D160B0"/>
    <w:rsid w:val="00D17F94"/>
    <w:rsid w:val="00D20742"/>
    <w:rsid w:val="00D21533"/>
    <w:rsid w:val="00D223FC"/>
    <w:rsid w:val="00D24210"/>
    <w:rsid w:val="00D26D1E"/>
    <w:rsid w:val="00D30686"/>
    <w:rsid w:val="00D3099B"/>
    <w:rsid w:val="00D33005"/>
    <w:rsid w:val="00D474CF"/>
    <w:rsid w:val="00D50455"/>
    <w:rsid w:val="00D53396"/>
    <w:rsid w:val="00D54B46"/>
    <w:rsid w:val="00D5547E"/>
    <w:rsid w:val="00D55A79"/>
    <w:rsid w:val="00D57F8D"/>
    <w:rsid w:val="00D61CBB"/>
    <w:rsid w:val="00D626F3"/>
    <w:rsid w:val="00D679FF"/>
    <w:rsid w:val="00D724E3"/>
    <w:rsid w:val="00D860E2"/>
    <w:rsid w:val="00D86545"/>
    <w:rsid w:val="00D869A1"/>
    <w:rsid w:val="00D951F7"/>
    <w:rsid w:val="00D97D77"/>
    <w:rsid w:val="00DA058C"/>
    <w:rsid w:val="00DA15EB"/>
    <w:rsid w:val="00DA413F"/>
    <w:rsid w:val="00DA4584"/>
    <w:rsid w:val="00DA5604"/>
    <w:rsid w:val="00DA614B"/>
    <w:rsid w:val="00DA62D4"/>
    <w:rsid w:val="00DB1527"/>
    <w:rsid w:val="00DB54C3"/>
    <w:rsid w:val="00DB56FE"/>
    <w:rsid w:val="00DB7AD7"/>
    <w:rsid w:val="00DC3060"/>
    <w:rsid w:val="00DD4CAE"/>
    <w:rsid w:val="00DD63E6"/>
    <w:rsid w:val="00DE0631"/>
    <w:rsid w:val="00DE0FB2"/>
    <w:rsid w:val="00DF093E"/>
    <w:rsid w:val="00DF40D5"/>
    <w:rsid w:val="00E01F42"/>
    <w:rsid w:val="00E07EDA"/>
    <w:rsid w:val="00E116B2"/>
    <w:rsid w:val="00E11ED8"/>
    <w:rsid w:val="00E163A0"/>
    <w:rsid w:val="00E17FA7"/>
    <w:rsid w:val="00E206D6"/>
    <w:rsid w:val="00E21C31"/>
    <w:rsid w:val="00E3182F"/>
    <w:rsid w:val="00E3366E"/>
    <w:rsid w:val="00E36D35"/>
    <w:rsid w:val="00E44868"/>
    <w:rsid w:val="00E50FC2"/>
    <w:rsid w:val="00E52086"/>
    <w:rsid w:val="00E543A6"/>
    <w:rsid w:val="00E55ADB"/>
    <w:rsid w:val="00E60479"/>
    <w:rsid w:val="00E61BA2"/>
    <w:rsid w:val="00E61D73"/>
    <w:rsid w:val="00E66165"/>
    <w:rsid w:val="00E7215F"/>
    <w:rsid w:val="00E73684"/>
    <w:rsid w:val="00E7697A"/>
    <w:rsid w:val="00E818D6"/>
    <w:rsid w:val="00E851FF"/>
    <w:rsid w:val="00E87F7A"/>
    <w:rsid w:val="00E94B3E"/>
    <w:rsid w:val="00E96BD7"/>
    <w:rsid w:val="00EA0DB1"/>
    <w:rsid w:val="00EA0EE9"/>
    <w:rsid w:val="00EA155B"/>
    <w:rsid w:val="00EA2BF5"/>
    <w:rsid w:val="00EA5C5A"/>
    <w:rsid w:val="00EB0E03"/>
    <w:rsid w:val="00EB2E0C"/>
    <w:rsid w:val="00EB7B31"/>
    <w:rsid w:val="00EC0A2E"/>
    <w:rsid w:val="00EC0B59"/>
    <w:rsid w:val="00EC18F8"/>
    <w:rsid w:val="00EC1CAA"/>
    <w:rsid w:val="00EC657A"/>
    <w:rsid w:val="00EC6898"/>
    <w:rsid w:val="00ED07A2"/>
    <w:rsid w:val="00ED36E4"/>
    <w:rsid w:val="00ED52CA"/>
    <w:rsid w:val="00ED5860"/>
    <w:rsid w:val="00ED6108"/>
    <w:rsid w:val="00ED75AE"/>
    <w:rsid w:val="00EE1AA8"/>
    <w:rsid w:val="00EE2326"/>
    <w:rsid w:val="00EE35C9"/>
    <w:rsid w:val="00EE5300"/>
    <w:rsid w:val="00EE713C"/>
    <w:rsid w:val="00EE73B8"/>
    <w:rsid w:val="00EE7C26"/>
    <w:rsid w:val="00EE7DC0"/>
    <w:rsid w:val="00EF3E4E"/>
    <w:rsid w:val="00EF5F02"/>
    <w:rsid w:val="00F0371C"/>
    <w:rsid w:val="00F03F5B"/>
    <w:rsid w:val="00F044F0"/>
    <w:rsid w:val="00F05ECA"/>
    <w:rsid w:val="00F15030"/>
    <w:rsid w:val="00F156A5"/>
    <w:rsid w:val="00F17034"/>
    <w:rsid w:val="00F262CD"/>
    <w:rsid w:val="00F26E21"/>
    <w:rsid w:val="00F276E4"/>
    <w:rsid w:val="00F27875"/>
    <w:rsid w:val="00F34B32"/>
    <w:rsid w:val="00F350D4"/>
    <w:rsid w:val="00F3566E"/>
    <w:rsid w:val="00F358B9"/>
    <w:rsid w:val="00F375FB"/>
    <w:rsid w:val="00F37F66"/>
    <w:rsid w:val="00F418A4"/>
    <w:rsid w:val="00F41AC1"/>
    <w:rsid w:val="00F433E9"/>
    <w:rsid w:val="00F4367A"/>
    <w:rsid w:val="00F445B1"/>
    <w:rsid w:val="00F45CD4"/>
    <w:rsid w:val="00F5000F"/>
    <w:rsid w:val="00F570AD"/>
    <w:rsid w:val="00F5772D"/>
    <w:rsid w:val="00F66DCA"/>
    <w:rsid w:val="00F74F53"/>
    <w:rsid w:val="00F7606D"/>
    <w:rsid w:val="00F760FB"/>
    <w:rsid w:val="00F81670"/>
    <w:rsid w:val="00F82024"/>
    <w:rsid w:val="00F827EB"/>
    <w:rsid w:val="00F82C35"/>
    <w:rsid w:val="00F865A3"/>
    <w:rsid w:val="00F900EE"/>
    <w:rsid w:val="00F905A7"/>
    <w:rsid w:val="00F915CF"/>
    <w:rsid w:val="00F93A8C"/>
    <w:rsid w:val="00F95BC9"/>
    <w:rsid w:val="00FA23DA"/>
    <w:rsid w:val="00FA624C"/>
    <w:rsid w:val="00FB0F84"/>
    <w:rsid w:val="00FB3B71"/>
    <w:rsid w:val="00FB42DD"/>
    <w:rsid w:val="00FB46CE"/>
    <w:rsid w:val="00FB5EEF"/>
    <w:rsid w:val="00FB621C"/>
    <w:rsid w:val="00FC1B30"/>
    <w:rsid w:val="00FC3610"/>
    <w:rsid w:val="00FD0FAC"/>
    <w:rsid w:val="00FD1DFA"/>
    <w:rsid w:val="00FD3933"/>
    <w:rsid w:val="00FD4966"/>
    <w:rsid w:val="00FE337E"/>
    <w:rsid w:val="00FE57DC"/>
    <w:rsid w:val="00FF095A"/>
    <w:rsid w:val="00FF2BE5"/>
    <w:rsid w:val="00FF3969"/>
    <w:rsid w:val="00FF5078"/>
    <w:rsid w:val="00FF66E2"/>
    <w:rsid w:val="023AE869"/>
    <w:rsid w:val="0263BAF6"/>
    <w:rsid w:val="02D31A2C"/>
    <w:rsid w:val="031537E4"/>
    <w:rsid w:val="0354C7BB"/>
    <w:rsid w:val="035D3BA2"/>
    <w:rsid w:val="0427BC55"/>
    <w:rsid w:val="053BFCEE"/>
    <w:rsid w:val="05B94C3D"/>
    <w:rsid w:val="05CC88C3"/>
    <w:rsid w:val="0601CED7"/>
    <w:rsid w:val="062C869D"/>
    <w:rsid w:val="0635F356"/>
    <w:rsid w:val="0765BC23"/>
    <w:rsid w:val="07819169"/>
    <w:rsid w:val="07D434D5"/>
    <w:rsid w:val="08416721"/>
    <w:rsid w:val="092A90D4"/>
    <w:rsid w:val="095E1D5C"/>
    <w:rsid w:val="09B5F2B7"/>
    <w:rsid w:val="09D32A3F"/>
    <w:rsid w:val="09E6BA76"/>
    <w:rsid w:val="0A30BB8B"/>
    <w:rsid w:val="0A872025"/>
    <w:rsid w:val="0AB3EF88"/>
    <w:rsid w:val="0AEAD29A"/>
    <w:rsid w:val="0B1C9E31"/>
    <w:rsid w:val="0B36DE97"/>
    <w:rsid w:val="0B880A72"/>
    <w:rsid w:val="0B89A7FD"/>
    <w:rsid w:val="0C53CB37"/>
    <w:rsid w:val="0CC3F2E2"/>
    <w:rsid w:val="0D172DB8"/>
    <w:rsid w:val="0D3BE454"/>
    <w:rsid w:val="0DC8BFC4"/>
    <w:rsid w:val="0E01B7BC"/>
    <w:rsid w:val="0E137018"/>
    <w:rsid w:val="0E573A2C"/>
    <w:rsid w:val="0ECD8498"/>
    <w:rsid w:val="0ED4D0E0"/>
    <w:rsid w:val="0F09FF6A"/>
    <w:rsid w:val="0F260DCB"/>
    <w:rsid w:val="0F2935CD"/>
    <w:rsid w:val="0F32E245"/>
    <w:rsid w:val="0F63C881"/>
    <w:rsid w:val="0F98B6C9"/>
    <w:rsid w:val="0FB9297F"/>
    <w:rsid w:val="0FF36DAA"/>
    <w:rsid w:val="1069EB8E"/>
    <w:rsid w:val="109FA5D1"/>
    <w:rsid w:val="10AF6BFC"/>
    <w:rsid w:val="10FFBDD9"/>
    <w:rsid w:val="117CF3E6"/>
    <w:rsid w:val="11ACF88C"/>
    <w:rsid w:val="11DE2519"/>
    <w:rsid w:val="11E8ED37"/>
    <w:rsid w:val="129122DB"/>
    <w:rsid w:val="12D4966B"/>
    <w:rsid w:val="12E4536C"/>
    <w:rsid w:val="13105E97"/>
    <w:rsid w:val="137CC687"/>
    <w:rsid w:val="1446C71C"/>
    <w:rsid w:val="14A7A08B"/>
    <w:rsid w:val="14B282DE"/>
    <w:rsid w:val="14E3FE33"/>
    <w:rsid w:val="14F7B137"/>
    <w:rsid w:val="150E6135"/>
    <w:rsid w:val="16169AE1"/>
    <w:rsid w:val="1634039E"/>
    <w:rsid w:val="167F022A"/>
    <w:rsid w:val="169BAC6D"/>
    <w:rsid w:val="16BE50BE"/>
    <w:rsid w:val="16C788FA"/>
    <w:rsid w:val="16D3B7A2"/>
    <w:rsid w:val="17210241"/>
    <w:rsid w:val="1761B102"/>
    <w:rsid w:val="187CEEE6"/>
    <w:rsid w:val="189CC74A"/>
    <w:rsid w:val="18B12936"/>
    <w:rsid w:val="18B6E948"/>
    <w:rsid w:val="19170B5E"/>
    <w:rsid w:val="1A276E43"/>
    <w:rsid w:val="1A524E4B"/>
    <w:rsid w:val="1A97F500"/>
    <w:rsid w:val="1A9BCBFC"/>
    <w:rsid w:val="1B20561C"/>
    <w:rsid w:val="1B8E2E1C"/>
    <w:rsid w:val="1BAF08D5"/>
    <w:rsid w:val="1BC0B843"/>
    <w:rsid w:val="1BDE6ACD"/>
    <w:rsid w:val="1C3E3FDC"/>
    <w:rsid w:val="1C62DB68"/>
    <w:rsid w:val="1C88D5E2"/>
    <w:rsid w:val="1DCABE4C"/>
    <w:rsid w:val="1DE23101"/>
    <w:rsid w:val="1E097BAB"/>
    <w:rsid w:val="1E2AA5CE"/>
    <w:rsid w:val="1E57D038"/>
    <w:rsid w:val="1E8735B4"/>
    <w:rsid w:val="1E9492A0"/>
    <w:rsid w:val="1EC10B4C"/>
    <w:rsid w:val="1F3BFDEF"/>
    <w:rsid w:val="1F6317EC"/>
    <w:rsid w:val="1FDDE309"/>
    <w:rsid w:val="208657CB"/>
    <w:rsid w:val="20C36A77"/>
    <w:rsid w:val="20DFC21C"/>
    <w:rsid w:val="21B194B0"/>
    <w:rsid w:val="21CF94D4"/>
    <w:rsid w:val="21F46F37"/>
    <w:rsid w:val="225AB157"/>
    <w:rsid w:val="22684824"/>
    <w:rsid w:val="226EDC30"/>
    <w:rsid w:val="22BED886"/>
    <w:rsid w:val="22F0553C"/>
    <w:rsid w:val="238A6E87"/>
    <w:rsid w:val="241EC8CD"/>
    <w:rsid w:val="244F951C"/>
    <w:rsid w:val="249F8AC0"/>
    <w:rsid w:val="24AA93AA"/>
    <w:rsid w:val="24E8A82A"/>
    <w:rsid w:val="2510569F"/>
    <w:rsid w:val="25AEE1A3"/>
    <w:rsid w:val="25C8DF4C"/>
    <w:rsid w:val="261465B6"/>
    <w:rsid w:val="26292E34"/>
    <w:rsid w:val="262B86B9"/>
    <w:rsid w:val="262BD882"/>
    <w:rsid w:val="2698D6A1"/>
    <w:rsid w:val="27395084"/>
    <w:rsid w:val="274765FD"/>
    <w:rsid w:val="275072DD"/>
    <w:rsid w:val="278ACBEA"/>
    <w:rsid w:val="282C914F"/>
    <w:rsid w:val="2875A525"/>
    <w:rsid w:val="296E0875"/>
    <w:rsid w:val="296E91C3"/>
    <w:rsid w:val="29894939"/>
    <w:rsid w:val="29C3BE02"/>
    <w:rsid w:val="2A0D976D"/>
    <w:rsid w:val="2A5925BE"/>
    <w:rsid w:val="2A5F81FE"/>
    <w:rsid w:val="2AA113E4"/>
    <w:rsid w:val="2AAA87BA"/>
    <w:rsid w:val="2ABE2D08"/>
    <w:rsid w:val="2ACE8176"/>
    <w:rsid w:val="2B46E713"/>
    <w:rsid w:val="2C96002F"/>
    <w:rsid w:val="2CE41789"/>
    <w:rsid w:val="2DC2B855"/>
    <w:rsid w:val="2E40C27A"/>
    <w:rsid w:val="2E450597"/>
    <w:rsid w:val="2ED37540"/>
    <w:rsid w:val="2F6D78E3"/>
    <w:rsid w:val="2FEE66AA"/>
    <w:rsid w:val="3035279E"/>
    <w:rsid w:val="30743CDD"/>
    <w:rsid w:val="30964FAA"/>
    <w:rsid w:val="30EAE58F"/>
    <w:rsid w:val="31215076"/>
    <w:rsid w:val="31DF634F"/>
    <w:rsid w:val="3225E5E5"/>
    <w:rsid w:val="3268E16A"/>
    <w:rsid w:val="3300F273"/>
    <w:rsid w:val="331A26D0"/>
    <w:rsid w:val="3323D874"/>
    <w:rsid w:val="33801A68"/>
    <w:rsid w:val="33C8C2FF"/>
    <w:rsid w:val="33F1FE27"/>
    <w:rsid w:val="34290373"/>
    <w:rsid w:val="34A359A8"/>
    <w:rsid w:val="34C5ADE6"/>
    <w:rsid w:val="34ECE2A5"/>
    <w:rsid w:val="35578DB5"/>
    <w:rsid w:val="3586EDEB"/>
    <w:rsid w:val="35E68B5F"/>
    <w:rsid w:val="3617B4E7"/>
    <w:rsid w:val="368E6A69"/>
    <w:rsid w:val="36A5A670"/>
    <w:rsid w:val="36DCBC9C"/>
    <w:rsid w:val="37257914"/>
    <w:rsid w:val="3742E73C"/>
    <w:rsid w:val="377CD078"/>
    <w:rsid w:val="37C0AC28"/>
    <w:rsid w:val="37F8D8F6"/>
    <w:rsid w:val="387216A4"/>
    <w:rsid w:val="38C4BD77"/>
    <w:rsid w:val="38D6708B"/>
    <w:rsid w:val="38D96EEB"/>
    <w:rsid w:val="397C8028"/>
    <w:rsid w:val="3A028991"/>
    <w:rsid w:val="3A1580BC"/>
    <w:rsid w:val="3AAAF577"/>
    <w:rsid w:val="3AD1125D"/>
    <w:rsid w:val="3B4EB03B"/>
    <w:rsid w:val="3B748006"/>
    <w:rsid w:val="3BB43EC8"/>
    <w:rsid w:val="3C1993AC"/>
    <w:rsid w:val="3C2916FD"/>
    <w:rsid w:val="3C9559B9"/>
    <w:rsid w:val="3CF41156"/>
    <w:rsid w:val="3D75EE1D"/>
    <w:rsid w:val="3FB4F9BC"/>
    <w:rsid w:val="3FC3454B"/>
    <w:rsid w:val="3FC75138"/>
    <w:rsid w:val="41131811"/>
    <w:rsid w:val="4130EA16"/>
    <w:rsid w:val="414A5AC3"/>
    <w:rsid w:val="4165F553"/>
    <w:rsid w:val="42430242"/>
    <w:rsid w:val="424B81B4"/>
    <w:rsid w:val="42EE0656"/>
    <w:rsid w:val="42F2E239"/>
    <w:rsid w:val="431C3BF6"/>
    <w:rsid w:val="43F42839"/>
    <w:rsid w:val="43FAC30E"/>
    <w:rsid w:val="440A9D33"/>
    <w:rsid w:val="44122403"/>
    <w:rsid w:val="44799465"/>
    <w:rsid w:val="4491D1A1"/>
    <w:rsid w:val="44B10F3C"/>
    <w:rsid w:val="44E81882"/>
    <w:rsid w:val="453D828F"/>
    <w:rsid w:val="4570461F"/>
    <w:rsid w:val="458DFEE6"/>
    <w:rsid w:val="467B6201"/>
    <w:rsid w:val="469F43DC"/>
    <w:rsid w:val="47265693"/>
    <w:rsid w:val="472E4B1E"/>
    <w:rsid w:val="47A7CEA7"/>
    <w:rsid w:val="48024A70"/>
    <w:rsid w:val="48332C11"/>
    <w:rsid w:val="4853289A"/>
    <w:rsid w:val="489C6A41"/>
    <w:rsid w:val="48AABE1B"/>
    <w:rsid w:val="48F21229"/>
    <w:rsid w:val="48F9BCD4"/>
    <w:rsid w:val="49509D2E"/>
    <w:rsid w:val="49B28670"/>
    <w:rsid w:val="49CDF7BF"/>
    <w:rsid w:val="4A3C796E"/>
    <w:rsid w:val="4A970238"/>
    <w:rsid w:val="4AA7D213"/>
    <w:rsid w:val="4ADE6935"/>
    <w:rsid w:val="4AF41B2B"/>
    <w:rsid w:val="4BC4B7C4"/>
    <w:rsid w:val="4C07694C"/>
    <w:rsid w:val="4C1DAED2"/>
    <w:rsid w:val="4C71E1EB"/>
    <w:rsid w:val="4DC9FD09"/>
    <w:rsid w:val="4DF06A9C"/>
    <w:rsid w:val="4E3B9FAC"/>
    <w:rsid w:val="4E9C5A41"/>
    <w:rsid w:val="4F146EA0"/>
    <w:rsid w:val="4F26BD14"/>
    <w:rsid w:val="4F495CC2"/>
    <w:rsid w:val="4FC7AE1A"/>
    <w:rsid w:val="50118AB9"/>
    <w:rsid w:val="5041F281"/>
    <w:rsid w:val="504E7EC4"/>
    <w:rsid w:val="50519E06"/>
    <w:rsid w:val="51049B70"/>
    <w:rsid w:val="513AC6E8"/>
    <w:rsid w:val="5144455B"/>
    <w:rsid w:val="52141FE7"/>
    <w:rsid w:val="52289E5E"/>
    <w:rsid w:val="525298D8"/>
    <w:rsid w:val="52E1B820"/>
    <w:rsid w:val="530E7F80"/>
    <w:rsid w:val="53124442"/>
    <w:rsid w:val="5349E2D0"/>
    <w:rsid w:val="53E6D30C"/>
    <w:rsid w:val="53F00B83"/>
    <w:rsid w:val="54B0CE12"/>
    <w:rsid w:val="54BD7E5A"/>
    <w:rsid w:val="562DCFA1"/>
    <w:rsid w:val="563B2C1D"/>
    <w:rsid w:val="565CD2FB"/>
    <w:rsid w:val="56EF1E7B"/>
    <w:rsid w:val="5715B9E2"/>
    <w:rsid w:val="571C62E4"/>
    <w:rsid w:val="57447DBC"/>
    <w:rsid w:val="588FBE20"/>
    <w:rsid w:val="58C16BAB"/>
    <w:rsid w:val="58DEF321"/>
    <w:rsid w:val="5920CE2C"/>
    <w:rsid w:val="594D6E84"/>
    <w:rsid w:val="596C1A69"/>
    <w:rsid w:val="59702DB8"/>
    <w:rsid w:val="5A1D7454"/>
    <w:rsid w:val="5A232727"/>
    <w:rsid w:val="5AA44AC1"/>
    <w:rsid w:val="5ACD0025"/>
    <w:rsid w:val="5C2301F2"/>
    <w:rsid w:val="5CA887CE"/>
    <w:rsid w:val="5CC4E406"/>
    <w:rsid w:val="5CD2A867"/>
    <w:rsid w:val="5CFFE947"/>
    <w:rsid w:val="5D0EC0A9"/>
    <w:rsid w:val="5D153549"/>
    <w:rsid w:val="5D55D35C"/>
    <w:rsid w:val="5D6EE46E"/>
    <w:rsid w:val="5DE62121"/>
    <w:rsid w:val="5E85FE28"/>
    <w:rsid w:val="5EC47D10"/>
    <w:rsid w:val="5EE7BE65"/>
    <w:rsid w:val="6010AC87"/>
    <w:rsid w:val="6052CCC3"/>
    <w:rsid w:val="608EA29E"/>
    <w:rsid w:val="6091C196"/>
    <w:rsid w:val="60B35EF8"/>
    <w:rsid w:val="610CE9FD"/>
    <w:rsid w:val="613D2893"/>
    <w:rsid w:val="6149E29F"/>
    <w:rsid w:val="62B73EE3"/>
    <w:rsid w:val="62BA7160"/>
    <w:rsid w:val="62BAC292"/>
    <w:rsid w:val="62D4B59A"/>
    <w:rsid w:val="62DD4A36"/>
    <w:rsid w:val="62FDB910"/>
    <w:rsid w:val="636BDC7A"/>
    <w:rsid w:val="63701E28"/>
    <w:rsid w:val="63ED07BE"/>
    <w:rsid w:val="63F8443F"/>
    <w:rsid w:val="6487CF87"/>
    <w:rsid w:val="64A2EEA2"/>
    <w:rsid w:val="64F53350"/>
    <w:rsid w:val="64FAE323"/>
    <w:rsid w:val="655425F7"/>
    <w:rsid w:val="65809D70"/>
    <w:rsid w:val="662186C4"/>
    <w:rsid w:val="6651A260"/>
    <w:rsid w:val="667401B6"/>
    <w:rsid w:val="6697758F"/>
    <w:rsid w:val="66C46E23"/>
    <w:rsid w:val="66C9ACD4"/>
    <w:rsid w:val="67489F08"/>
    <w:rsid w:val="67CAB1FF"/>
    <w:rsid w:val="685CCDC2"/>
    <w:rsid w:val="6888C9C9"/>
    <w:rsid w:val="68E7D173"/>
    <w:rsid w:val="69B4D7EF"/>
    <w:rsid w:val="69F79371"/>
    <w:rsid w:val="6A48D68C"/>
    <w:rsid w:val="6B691033"/>
    <w:rsid w:val="6BAC88B8"/>
    <w:rsid w:val="6BF4F2AA"/>
    <w:rsid w:val="6BFBC2A1"/>
    <w:rsid w:val="6C5DCA0F"/>
    <w:rsid w:val="6CCDBEEE"/>
    <w:rsid w:val="6CF2D3E7"/>
    <w:rsid w:val="6D4E4B26"/>
    <w:rsid w:val="6D6A1C0A"/>
    <w:rsid w:val="6E04B5BB"/>
    <w:rsid w:val="6E0CBBF3"/>
    <w:rsid w:val="6E376F09"/>
    <w:rsid w:val="6E8E525D"/>
    <w:rsid w:val="6EB12DA1"/>
    <w:rsid w:val="6ECA3545"/>
    <w:rsid w:val="6EDF53F8"/>
    <w:rsid w:val="6EF64295"/>
    <w:rsid w:val="6F28F767"/>
    <w:rsid w:val="6F343230"/>
    <w:rsid w:val="6F65FBD8"/>
    <w:rsid w:val="6F84DBCC"/>
    <w:rsid w:val="703AFFF7"/>
    <w:rsid w:val="703B9A8C"/>
    <w:rsid w:val="70509213"/>
    <w:rsid w:val="70F8304B"/>
    <w:rsid w:val="71DD9977"/>
    <w:rsid w:val="71DF16E8"/>
    <w:rsid w:val="71DFAD0E"/>
    <w:rsid w:val="723BFFD4"/>
    <w:rsid w:val="723C8969"/>
    <w:rsid w:val="7276546A"/>
    <w:rsid w:val="727E8704"/>
    <w:rsid w:val="736D0DF5"/>
    <w:rsid w:val="737CFF0E"/>
    <w:rsid w:val="7387B258"/>
    <w:rsid w:val="74E644AC"/>
    <w:rsid w:val="75361DE2"/>
    <w:rsid w:val="755B5000"/>
    <w:rsid w:val="75E01BB2"/>
    <w:rsid w:val="76905003"/>
    <w:rsid w:val="76BE6FF7"/>
    <w:rsid w:val="76D8CABF"/>
    <w:rsid w:val="7789872D"/>
    <w:rsid w:val="779A6E73"/>
    <w:rsid w:val="78D9A688"/>
    <w:rsid w:val="7A2A8370"/>
    <w:rsid w:val="7A3AABFD"/>
    <w:rsid w:val="7A64243C"/>
    <w:rsid w:val="7A6FCF06"/>
    <w:rsid w:val="7B096DCB"/>
    <w:rsid w:val="7BE73F63"/>
    <w:rsid w:val="7BECD169"/>
    <w:rsid w:val="7C578996"/>
    <w:rsid w:val="7D00031C"/>
    <w:rsid w:val="7D2257BE"/>
    <w:rsid w:val="7D546FA5"/>
    <w:rsid w:val="7D834B0A"/>
    <w:rsid w:val="7D871DE0"/>
    <w:rsid w:val="7DB52281"/>
    <w:rsid w:val="7DC6315C"/>
    <w:rsid w:val="7DCA9C37"/>
    <w:rsid w:val="7E082973"/>
    <w:rsid w:val="7E4379A4"/>
    <w:rsid w:val="7E45E8B4"/>
    <w:rsid w:val="7F16565B"/>
    <w:rsid w:val="7F2FB440"/>
    <w:rsid w:val="7F3A433D"/>
    <w:rsid w:val="7F4F8A56"/>
    <w:rsid w:val="7F5EFE7D"/>
    <w:rsid w:val="7FBC898E"/>
    <w:rsid w:val="7FF70B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A1E73A1C-5A80-4C8E-85EA-66DE7976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7"/>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agraph">
    <w:name w:val="paragraph"/>
    <w:basedOn w:val="Normal"/>
    <w:rsid w:val="00670CC2"/>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670CC2"/>
  </w:style>
  <w:style w:type="character" w:customStyle="1" w:styleId="eop">
    <w:name w:val="eop"/>
    <w:basedOn w:val="DefaultParagraphFont"/>
    <w:rsid w:val="00670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4949">
      <w:bodyDiv w:val="1"/>
      <w:marLeft w:val="0"/>
      <w:marRight w:val="0"/>
      <w:marTop w:val="0"/>
      <w:marBottom w:val="0"/>
      <w:divBdr>
        <w:top w:val="none" w:sz="0" w:space="0" w:color="auto"/>
        <w:left w:val="none" w:sz="0" w:space="0" w:color="auto"/>
        <w:bottom w:val="none" w:sz="0" w:space="0" w:color="auto"/>
        <w:right w:val="none" w:sz="0" w:space="0" w:color="auto"/>
      </w:divBdr>
      <w:divsChild>
        <w:div w:id="3896787">
          <w:marLeft w:val="0"/>
          <w:marRight w:val="0"/>
          <w:marTop w:val="0"/>
          <w:marBottom w:val="0"/>
          <w:divBdr>
            <w:top w:val="none" w:sz="0" w:space="0" w:color="auto"/>
            <w:left w:val="none" w:sz="0" w:space="0" w:color="auto"/>
            <w:bottom w:val="none" w:sz="0" w:space="0" w:color="auto"/>
            <w:right w:val="none" w:sz="0" w:space="0" w:color="auto"/>
          </w:divBdr>
          <w:divsChild>
            <w:div w:id="194930308">
              <w:marLeft w:val="0"/>
              <w:marRight w:val="0"/>
              <w:marTop w:val="0"/>
              <w:marBottom w:val="0"/>
              <w:divBdr>
                <w:top w:val="none" w:sz="0" w:space="0" w:color="auto"/>
                <w:left w:val="none" w:sz="0" w:space="0" w:color="auto"/>
                <w:bottom w:val="none" w:sz="0" w:space="0" w:color="auto"/>
                <w:right w:val="none" w:sz="0" w:space="0" w:color="auto"/>
              </w:divBdr>
            </w:div>
          </w:divsChild>
        </w:div>
        <w:div w:id="4796263">
          <w:marLeft w:val="0"/>
          <w:marRight w:val="0"/>
          <w:marTop w:val="0"/>
          <w:marBottom w:val="0"/>
          <w:divBdr>
            <w:top w:val="none" w:sz="0" w:space="0" w:color="auto"/>
            <w:left w:val="none" w:sz="0" w:space="0" w:color="auto"/>
            <w:bottom w:val="none" w:sz="0" w:space="0" w:color="auto"/>
            <w:right w:val="none" w:sz="0" w:space="0" w:color="auto"/>
          </w:divBdr>
          <w:divsChild>
            <w:div w:id="84082758">
              <w:marLeft w:val="0"/>
              <w:marRight w:val="0"/>
              <w:marTop w:val="0"/>
              <w:marBottom w:val="0"/>
              <w:divBdr>
                <w:top w:val="none" w:sz="0" w:space="0" w:color="auto"/>
                <w:left w:val="none" w:sz="0" w:space="0" w:color="auto"/>
                <w:bottom w:val="none" w:sz="0" w:space="0" w:color="auto"/>
                <w:right w:val="none" w:sz="0" w:space="0" w:color="auto"/>
              </w:divBdr>
            </w:div>
          </w:divsChild>
        </w:div>
        <w:div w:id="35855406">
          <w:marLeft w:val="0"/>
          <w:marRight w:val="0"/>
          <w:marTop w:val="0"/>
          <w:marBottom w:val="0"/>
          <w:divBdr>
            <w:top w:val="none" w:sz="0" w:space="0" w:color="auto"/>
            <w:left w:val="none" w:sz="0" w:space="0" w:color="auto"/>
            <w:bottom w:val="none" w:sz="0" w:space="0" w:color="auto"/>
            <w:right w:val="none" w:sz="0" w:space="0" w:color="auto"/>
          </w:divBdr>
          <w:divsChild>
            <w:div w:id="570697747">
              <w:marLeft w:val="0"/>
              <w:marRight w:val="0"/>
              <w:marTop w:val="0"/>
              <w:marBottom w:val="0"/>
              <w:divBdr>
                <w:top w:val="none" w:sz="0" w:space="0" w:color="auto"/>
                <w:left w:val="none" w:sz="0" w:space="0" w:color="auto"/>
                <w:bottom w:val="none" w:sz="0" w:space="0" w:color="auto"/>
                <w:right w:val="none" w:sz="0" w:space="0" w:color="auto"/>
              </w:divBdr>
            </w:div>
          </w:divsChild>
        </w:div>
        <w:div w:id="141704286">
          <w:marLeft w:val="0"/>
          <w:marRight w:val="0"/>
          <w:marTop w:val="0"/>
          <w:marBottom w:val="0"/>
          <w:divBdr>
            <w:top w:val="none" w:sz="0" w:space="0" w:color="auto"/>
            <w:left w:val="none" w:sz="0" w:space="0" w:color="auto"/>
            <w:bottom w:val="none" w:sz="0" w:space="0" w:color="auto"/>
            <w:right w:val="none" w:sz="0" w:space="0" w:color="auto"/>
          </w:divBdr>
          <w:divsChild>
            <w:div w:id="1414165235">
              <w:marLeft w:val="0"/>
              <w:marRight w:val="0"/>
              <w:marTop w:val="0"/>
              <w:marBottom w:val="0"/>
              <w:divBdr>
                <w:top w:val="none" w:sz="0" w:space="0" w:color="auto"/>
                <w:left w:val="none" w:sz="0" w:space="0" w:color="auto"/>
                <w:bottom w:val="none" w:sz="0" w:space="0" w:color="auto"/>
                <w:right w:val="none" w:sz="0" w:space="0" w:color="auto"/>
              </w:divBdr>
            </w:div>
          </w:divsChild>
        </w:div>
        <w:div w:id="145778162">
          <w:marLeft w:val="0"/>
          <w:marRight w:val="0"/>
          <w:marTop w:val="0"/>
          <w:marBottom w:val="0"/>
          <w:divBdr>
            <w:top w:val="none" w:sz="0" w:space="0" w:color="auto"/>
            <w:left w:val="none" w:sz="0" w:space="0" w:color="auto"/>
            <w:bottom w:val="none" w:sz="0" w:space="0" w:color="auto"/>
            <w:right w:val="none" w:sz="0" w:space="0" w:color="auto"/>
          </w:divBdr>
          <w:divsChild>
            <w:div w:id="1530951425">
              <w:marLeft w:val="0"/>
              <w:marRight w:val="0"/>
              <w:marTop w:val="0"/>
              <w:marBottom w:val="0"/>
              <w:divBdr>
                <w:top w:val="none" w:sz="0" w:space="0" w:color="auto"/>
                <w:left w:val="none" w:sz="0" w:space="0" w:color="auto"/>
                <w:bottom w:val="none" w:sz="0" w:space="0" w:color="auto"/>
                <w:right w:val="none" w:sz="0" w:space="0" w:color="auto"/>
              </w:divBdr>
            </w:div>
          </w:divsChild>
        </w:div>
        <w:div w:id="170681634">
          <w:marLeft w:val="0"/>
          <w:marRight w:val="0"/>
          <w:marTop w:val="0"/>
          <w:marBottom w:val="0"/>
          <w:divBdr>
            <w:top w:val="none" w:sz="0" w:space="0" w:color="auto"/>
            <w:left w:val="none" w:sz="0" w:space="0" w:color="auto"/>
            <w:bottom w:val="none" w:sz="0" w:space="0" w:color="auto"/>
            <w:right w:val="none" w:sz="0" w:space="0" w:color="auto"/>
          </w:divBdr>
          <w:divsChild>
            <w:div w:id="2083284679">
              <w:marLeft w:val="0"/>
              <w:marRight w:val="0"/>
              <w:marTop w:val="0"/>
              <w:marBottom w:val="0"/>
              <w:divBdr>
                <w:top w:val="none" w:sz="0" w:space="0" w:color="auto"/>
                <w:left w:val="none" w:sz="0" w:space="0" w:color="auto"/>
                <w:bottom w:val="none" w:sz="0" w:space="0" w:color="auto"/>
                <w:right w:val="none" w:sz="0" w:space="0" w:color="auto"/>
              </w:divBdr>
            </w:div>
          </w:divsChild>
        </w:div>
        <w:div w:id="201289408">
          <w:marLeft w:val="0"/>
          <w:marRight w:val="0"/>
          <w:marTop w:val="0"/>
          <w:marBottom w:val="0"/>
          <w:divBdr>
            <w:top w:val="none" w:sz="0" w:space="0" w:color="auto"/>
            <w:left w:val="none" w:sz="0" w:space="0" w:color="auto"/>
            <w:bottom w:val="none" w:sz="0" w:space="0" w:color="auto"/>
            <w:right w:val="none" w:sz="0" w:space="0" w:color="auto"/>
          </w:divBdr>
          <w:divsChild>
            <w:div w:id="1178078810">
              <w:marLeft w:val="0"/>
              <w:marRight w:val="0"/>
              <w:marTop w:val="0"/>
              <w:marBottom w:val="0"/>
              <w:divBdr>
                <w:top w:val="none" w:sz="0" w:space="0" w:color="auto"/>
                <w:left w:val="none" w:sz="0" w:space="0" w:color="auto"/>
                <w:bottom w:val="none" w:sz="0" w:space="0" w:color="auto"/>
                <w:right w:val="none" w:sz="0" w:space="0" w:color="auto"/>
              </w:divBdr>
            </w:div>
          </w:divsChild>
        </w:div>
        <w:div w:id="204830433">
          <w:marLeft w:val="0"/>
          <w:marRight w:val="0"/>
          <w:marTop w:val="0"/>
          <w:marBottom w:val="0"/>
          <w:divBdr>
            <w:top w:val="none" w:sz="0" w:space="0" w:color="auto"/>
            <w:left w:val="none" w:sz="0" w:space="0" w:color="auto"/>
            <w:bottom w:val="none" w:sz="0" w:space="0" w:color="auto"/>
            <w:right w:val="none" w:sz="0" w:space="0" w:color="auto"/>
          </w:divBdr>
          <w:divsChild>
            <w:div w:id="1851987329">
              <w:marLeft w:val="0"/>
              <w:marRight w:val="0"/>
              <w:marTop w:val="0"/>
              <w:marBottom w:val="0"/>
              <w:divBdr>
                <w:top w:val="none" w:sz="0" w:space="0" w:color="auto"/>
                <w:left w:val="none" w:sz="0" w:space="0" w:color="auto"/>
                <w:bottom w:val="none" w:sz="0" w:space="0" w:color="auto"/>
                <w:right w:val="none" w:sz="0" w:space="0" w:color="auto"/>
              </w:divBdr>
            </w:div>
          </w:divsChild>
        </w:div>
        <w:div w:id="214196793">
          <w:marLeft w:val="0"/>
          <w:marRight w:val="0"/>
          <w:marTop w:val="0"/>
          <w:marBottom w:val="0"/>
          <w:divBdr>
            <w:top w:val="none" w:sz="0" w:space="0" w:color="auto"/>
            <w:left w:val="none" w:sz="0" w:space="0" w:color="auto"/>
            <w:bottom w:val="none" w:sz="0" w:space="0" w:color="auto"/>
            <w:right w:val="none" w:sz="0" w:space="0" w:color="auto"/>
          </w:divBdr>
          <w:divsChild>
            <w:div w:id="1313945154">
              <w:marLeft w:val="0"/>
              <w:marRight w:val="0"/>
              <w:marTop w:val="0"/>
              <w:marBottom w:val="0"/>
              <w:divBdr>
                <w:top w:val="none" w:sz="0" w:space="0" w:color="auto"/>
                <w:left w:val="none" w:sz="0" w:space="0" w:color="auto"/>
                <w:bottom w:val="none" w:sz="0" w:space="0" w:color="auto"/>
                <w:right w:val="none" w:sz="0" w:space="0" w:color="auto"/>
              </w:divBdr>
            </w:div>
          </w:divsChild>
        </w:div>
        <w:div w:id="217477494">
          <w:marLeft w:val="0"/>
          <w:marRight w:val="0"/>
          <w:marTop w:val="0"/>
          <w:marBottom w:val="0"/>
          <w:divBdr>
            <w:top w:val="none" w:sz="0" w:space="0" w:color="auto"/>
            <w:left w:val="none" w:sz="0" w:space="0" w:color="auto"/>
            <w:bottom w:val="none" w:sz="0" w:space="0" w:color="auto"/>
            <w:right w:val="none" w:sz="0" w:space="0" w:color="auto"/>
          </w:divBdr>
          <w:divsChild>
            <w:div w:id="1504280191">
              <w:marLeft w:val="0"/>
              <w:marRight w:val="0"/>
              <w:marTop w:val="0"/>
              <w:marBottom w:val="0"/>
              <w:divBdr>
                <w:top w:val="none" w:sz="0" w:space="0" w:color="auto"/>
                <w:left w:val="none" w:sz="0" w:space="0" w:color="auto"/>
                <w:bottom w:val="none" w:sz="0" w:space="0" w:color="auto"/>
                <w:right w:val="none" w:sz="0" w:space="0" w:color="auto"/>
              </w:divBdr>
            </w:div>
          </w:divsChild>
        </w:div>
        <w:div w:id="246891308">
          <w:marLeft w:val="0"/>
          <w:marRight w:val="0"/>
          <w:marTop w:val="0"/>
          <w:marBottom w:val="0"/>
          <w:divBdr>
            <w:top w:val="none" w:sz="0" w:space="0" w:color="auto"/>
            <w:left w:val="none" w:sz="0" w:space="0" w:color="auto"/>
            <w:bottom w:val="none" w:sz="0" w:space="0" w:color="auto"/>
            <w:right w:val="none" w:sz="0" w:space="0" w:color="auto"/>
          </w:divBdr>
          <w:divsChild>
            <w:div w:id="1893955649">
              <w:marLeft w:val="0"/>
              <w:marRight w:val="0"/>
              <w:marTop w:val="0"/>
              <w:marBottom w:val="0"/>
              <w:divBdr>
                <w:top w:val="none" w:sz="0" w:space="0" w:color="auto"/>
                <w:left w:val="none" w:sz="0" w:space="0" w:color="auto"/>
                <w:bottom w:val="none" w:sz="0" w:space="0" w:color="auto"/>
                <w:right w:val="none" w:sz="0" w:space="0" w:color="auto"/>
              </w:divBdr>
            </w:div>
          </w:divsChild>
        </w:div>
        <w:div w:id="289828394">
          <w:marLeft w:val="0"/>
          <w:marRight w:val="0"/>
          <w:marTop w:val="0"/>
          <w:marBottom w:val="0"/>
          <w:divBdr>
            <w:top w:val="none" w:sz="0" w:space="0" w:color="auto"/>
            <w:left w:val="none" w:sz="0" w:space="0" w:color="auto"/>
            <w:bottom w:val="none" w:sz="0" w:space="0" w:color="auto"/>
            <w:right w:val="none" w:sz="0" w:space="0" w:color="auto"/>
          </w:divBdr>
          <w:divsChild>
            <w:div w:id="1118648144">
              <w:marLeft w:val="0"/>
              <w:marRight w:val="0"/>
              <w:marTop w:val="0"/>
              <w:marBottom w:val="0"/>
              <w:divBdr>
                <w:top w:val="none" w:sz="0" w:space="0" w:color="auto"/>
                <w:left w:val="none" w:sz="0" w:space="0" w:color="auto"/>
                <w:bottom w:val="none" w:sz="0" w:space="0" w:color="auto"/>
                <w:right w:val="none" w:sz="0" w:space="0" w:color="auto"/>
              </w:divBdr>
            </w:div>
          </w:divsChild>
        </w:div>
        <w:div w:id="293294166">
          <w:marLeft w:val="0"/>
          <w:marRight w:val="0"/>
          <w:marTop w:val="0"/>
          <w:marBottom w:val="0"/>
          <w:divBdr>
            <w:top w:val="none" w:sz="0" w:space="0" w:color="auto"/>
            <w:left w:val="none" w:sz="0" w:space="0" w:color="auto"/>
            <w:bottom w:val="none" w:sz="0" w:space="0" w:color="auto"/>
            <w:right w:val="none" w:sz="0" w:space="0" w:color="auto"/>
          </w:divBdr>
          <w:divsChild>
            <w:div w:id="1779711918">
              <w:marLeft w:val="0"/>
              <w:marRight w:val="0"/>
              <w:marTop w:val="0"/>
              <w:marBottom w:val="0"/>
              <w:divBdr>
                <w:top w:val="none" w:sz="0" w:space="0" w:color="auto"/>
                <w:left w:val="none" w:sz="0" w:space="0" w:color="auto"/>
                <w:bottom w:val="none" w:sz="0" w:space="0" w:color="auto"/>
                <w:right w:val="none" w:sz="0" w:space="0" w:color="auto"/>
              </w:divBdr>
            </w:div>
          </w:divsChild>
        </w:div>
        <w:div w:id="309795438">
          <w:marLeft w:val="0"/>
          <w:marRight w:val="0"/>
          <w:marTop w:val="0"/>
          <w:marBottom w:val="0"/>
          <w:divBdr>
            <w:top w:val="none" w:sz="0" w:space="0" w:color="auto"/>
            <w:left w:val="none" w:sz="0" w:space="0" w:color="auto"/>
            <w:bottom w:val="none" w:sz="0" w:space="0" w:color="auto"/>
            <w:right w:val="none" w:sz="0" w:space="0" w:color="auto"/>
          </w:divBdr>
          <w:divsChild>
            <w:div w:id="1885675829">
              <w:marLeft w:val="0"/>
              <w:marRight w:val="0"/>
              <w:marTop w:val="0"/>
              <w:marBottom w:val="0"/>
              <w:divBdr>
                <w:top w:val="none" w:sz="0" w:space="0" w:color="auto"/>
                <w:left w:val="none" w:sz="0" w:space="0" w:color="auto"/>
                <w:bottom w:val="none" w:sz="0" w:space="0" w:color="auto"/>
                <w:right w:val="none" w:sz="0" w:space="0" w:color="auto"/>
              </w:divBdr>
            </w:div>
          </w:divsChild>
        </w:div>
        <w:div w:id="345910322">
          <w:marLeft w:val="0"/>
          <w:marRight w:val="0"/>
          <w:marTop w:val="0"/>
          <w:marBottom w:val="0"/>
          <w:divBdr>
            <w:top w:val="none" w:sz="0" w:space="0" w:color="auto"/>
            <w:left w:val="none" w:sz="0" w:space="0" w:color="auto"/>
            <w:bottom w:val="none" w:sz="0" w:space="0" w:color="auto"/>
            <w:right w:val="none" w:sz="0" w:space="0" w:color="auto"/>
          </w:divBdr>
          <w:divsChild>
            <w:div w:id="1448961412">
              <w:marLeft w:val="0"/>
              <w:marRight w:val="0"/>
              <w:marTop w:val="0"/>
              <w:marBottom w:val="0"/>
              <w:divBdr>
                <w:top w:val="none" w:sz="0" w:space="0" w:color="auto"/>
                <w:left w:val="none" w:sz="0" w:space="0" w:color="auto"/>
                <w:bottom w:val="none" w:sz="0" w:space="0" w:color="auto"/>
                <w:right w:val="none" w:sz="0" w:space="0" w:color="auto"/>
              </w:divBdr>
            </w:div>
          </w:divsChild>
        </w:div>
        <w:div w:id="436753456">
          <w:marLeft w:val="0"/>
          <w:marRight w:val="0"/>
          <w:marTop w:val="0"/>
          <w:marBottom w:val="0"/>
          <w:divBdr>
            <w:top w:val="none" w:sz="0" w:space="0" w:color="auto"/>
            <w:left w:val="none" w:sz="0" w:space="0" w:color="auto"/>
            <w:bottom w:val="none" w:sz="0" w:space="0" w:color="auto"/>
            <w:right w:val="none" w:sz="0" w:space="0" w:color="auto"/>
          </w:divBdr>
          <w:divsChild>
            <w:div w:id="570508714">
              <w:marLeft w:val="0"/>
              <w:marRight w:val="0"/>
              <w:marTop w:val="0"/>
              <w:marBottom w:val="0"/>
              <w:divBdr>
                <w:top w:val="none" w:sz="0" w:space="0" w:color="auto"/>
                <w:left w:val="none" w:sz="0" w:space="0" w:color="auto"/>
                <w:bottom w:val="none" w:sz="0" w:space="0" w:color="auto"/>
                <w:right w:val="none" w:sz="0" w:space="0" w:color="auto"/>
              </w:divBdr>
            </w:div>
          </w:divsChild>
        </w:div>
        <w:div w:id="581834977">
          <w:marLeft w:val="0"/>
          <w:marRight w:val="0"/>
          <w:marTop w:val="0"/>
          <w:marBottom w:val="0"/>
          <w:divBdr>
            <w:top w:val="none" w:sz="0" w:space="0" w:color="auto"/>
            <w:left w:val="none" w:sz="0" w:space="0" w:color="auto"/>
            <w:bottom w:val="none" w:sz="0" w:space="0" w:color="auto"/>
            <w:right w:val="none" w:sz="0" w:space="0" w:color="auto"/>
          </w:divBdr>
          <w:divsChild>
            <w:div w:id="1337926149">
              <w:marLeft w:val="0"/>
              <w:marRight w:val="0"/>
              <w:marTop w:val="0"/>
              <w:marBottom w:val="0"/>
              <w:divBdr>
                <w:top w:val="none" w:sz="0" w:space="0" w:color="auto"/>
                <w:left w:val="none" w:sz="0" w:space="0" w:color="auto"/>
                <w:bottom w:val="none" w:sz="0" w:space="0" w:color="auto"/>
                <w:right w:val="none" w:sz="0" w:space="0" w:color="auto"/>
              </w:divBdr>
            </w:div>
          </w:divsChild>
        </w:div>
        <w:div w:id="645553630">
          <w:marLeft w:val="0"/>
          <w:marRight w:val="0"/>
          <w:marTop w:val="0"/>
          <w:marBottom w:val="0"/>
          <w:divBdr>
            <w:top w:val="none" w:sz="0" w:space="0" w:color="auto"/>
            <w:left w:val="none" w:sz="0" w:space="0" w:color="auto"/>
            <w:bottom w:val="none" w:sz="0" w:space="0" w:color="auto"/>
            <w:right w:val="none" w:sz="0" w:space="0" w:color="auto"/>
          </w:divBdr>
          <w:divsChild>
            <w:div w:id="503083284">
              <w:marLeft w:val="0"/>
              <w:marRight w:val="0"/>
              <w:marTop w:val="0"/>
              <w:marBottom w:val="0"/>
              <w:divBdr>
                <w:top w:val="none" w:sz="0" w:space="0" w:color="auto"/>
                <w:left w:val="none" w:sz="0" w:space="0" w:color="auto"/>
                <w:bottom w:val="none" w:sz="0" w:space="0" w:color="auto"/>
                <w:right w:val="none" w:sz="0" w:space="0" w:color="auto"/>
              </w:divBdr>
            </w:div>
          </w:divsChild>
        </w:div>
        <w:div w:id="685131291">
          <w:marLeft w:val="0"/>
          <w:marRight w:val="0"/>
          <w:marTop w:val="0"/>
          <w:marBottom w:val="0"/>
          <w:divBdr>
            <w:top w:val="none" w:sz="0" w:space="0" w:color="auto"/>
            <w:left w:val="none" w:sz="0" w:space="0" w:color="auto"/>
            <w:bottom w:val="none" w:sz="0" w:space="0" w:color="auto"/>
            <w:right w:val="none" w:sz="0" w:space="0" w:color="auto"/>
          </w:divBdr>
          <w:divsChild>
            <w:div w:id="2009555369">
              <w:marLeft w:val="0"/>
              <w:marRight w:val="0"/>
              <w:marTop w:val="0"/>
              <w:marBottom w:val="0"/>
              <w:divBdr>
                <w:top w:val="none" w:sz="0" w:space="0" w:color="auto"/>
                <w:left w:val="none" w:sz="0" w:space="0" w:color="auto"/>
                <w:bottom w:val="none" w:sz="0" w:space="0" w:color="auto"/>
                <w:right w:val="none" w:sz="0" w:space="0" w:color="auto"/>
              </w:divBdr>
            </w:div>
          </w:divsChild>
        </w:div>
        <w:div w:id="728260573">
          <w:marLeft w:val="0"/>
          <w:marRight w:val="0"/>
          <w:marTop w:val="0"/>
          <w:marBottom w:val="0"/>
          <w:divBdr>
            <w:top w:val="none" w:sz="0" w:space="0" w:color="auto"/>
            <w:left w:val="none" w:sz="0" w:space="0" w:color="auto"/>
            <w:bottom w:val="none" w:sz="0" w:space="0" w:color="auto"/>
            <w:right w:val="none" w:sz="0" w:space="0" w:color="auto"/>
          </w:divBdr>
          <w:divsChild>
            <w:div w:id="1192382534">
              <w:marLeft w:val="0"/>
              <w:marRight w:val="0"/>
              <w:marTop w:val="0"/>
              <w:marBottom w:val="0"/>
              <w:divBdr>
                <w:top w:val="none" w:sz="0" w:space="0" w:color="auto"/>
                <w:left w:val="none" w:sz="0" w:space="0" w:color="auto"/>
                <w:bottom w:val="none" w:sz="0" w:space="0" w:color="auto"/>
                <w:right w:val="none" w:sz="0" w:space="0" w:color="auto"/>
              </w:divBdr>
            </w:div>
          </w:divsChild>
        </w:div>
        <w:div w:id="728455004">
          <w:marLeft w:val="0"/>
          <w:marRight w:val="0"/>
          <w:marTop w:val="0"/>
          <w:marBottom w:val="0"/>
          <w:divBdr>
            <w:top w:val="none" w:sz="0" w:space="0" w:color="auto"/>
            <w:left w:val="none" w:sz="0" w:space="0" w:color="auto"/>
            <w:bottom w:val="none" w:sz="0" w:space="0" w:color="auto"/>
            <w:right w:val="none" w:sz="0" w:space="0" w:color="auto"/>
          </w:divBdr>
          <w:divsChild>
            <w:div w:id="1855142894">
              <w:marLeft w:val="0"/>
              <w:marRight w:val="0"/>
              <w:marTop w:val="0"/>
              <w:marBottom w:val="0"/>
              <w:divBdr>
                <w:top w:val="none" w:sz="0" w:space="0" w:color="auto"/>
                <w:left w:val="none" w:sz="0" w:space="0" w:color="auto"/>
                <w:bottom w:val="none" w:sz="0" w:space="0" w:color="auto"/>
                <w:right w:val="none" w:sz="0" w:space="0" w:color="auto"/>
              </w:divBdr>
            </w:div>
          </w:divsChild>
        </w:div>
        <w:div w:id="794324881">
          <w:marLeft w:val="0"/>
          <w:marRight w:val="0"/>
          <w:marTop w:val="0"/>
          <w:marBottom w:val="0"/>
          <w:divBdr>
            <w:top w:val="none" w:sz="0" w:space="0" w:color="auto"/>
            <w:left w:val="none" w:sz="0" w:space="0" w:color="auto"/>
            <w:bottom w:val="none" w:sz="0" w:space="0" w:color="auto"/>
            <w:right w:val="none" w:sz="0" w:space="0" w:color="auto"/>
          </w:divBdr>
          <w:divsChild>
            <w:div w:id="2078819944">
              <w:marLeft w:val="0"/>
              <w:marRight w:val="0"/>
              <w:marTop w:val="0"/>
              <w:marBottom w:val="0"/>
              <w:divBdr>
                <w:top w:val="none" w:sz="0" w:space="0" w:color="auto"/>
                <w:left w:val="none" w:sz="0" w:space="0" w:color="auto"/>
                <w:bottom w:val="none" w:sz="0" w:space="0" w:color="auto"/>
                <w:right w:val="none" w:sz="0" w:space="0" w:color="auto"/>
              </w:divBdr>
            </w:div>
          </w:divsChild>
        </w:div>
        <w:div w:id="796875858">
          <w:marLeft w:val="0"/>
          <w:marRight w:val="0"/>
          <w:marTop w:val="0"/>
          <w:marBottom w:val="0"/>
          <w:divBdr>
            <w:top w:val="none" w:sz="0" w:space="0" w:color="auto"/>
            <w:left w:val="none" w:sz="0" w:space="0" w:color="auto"/>
            <w:bottom w:val="none" w:sz="0" w:space="0" w:color="auto"/>
            <w:right w:val="none" w:sz="0" w:space="0" w:color="auto"/>
          </w:divBdr>
          <w:divsChild>
            <w:div w:id="1214922067">
              <w:marLeft w:val="0"/>
              <w:marRight w:val="0"/>
              <w:marTop w:val="0"/>
              <w:marBottom w:val="0"/>
              <w:divBdr>
                <w:top w:val="none" w:sz="0" w:space="0" w:color="auto"/>
                <w:left w:val="none" w:sz="0" w:space="0" w:color="auto"/>
                <w:bottom w:val="none" w:sz="0" w:space="0" w:color="auto"/>
                <w:right w:val="none" w:sz="0" w:space="0" w:color="auto"/>
              </w:divBdr>
            </w:div>
          </w:divsChild>
        </w:div>
        <w:div w:id="836307629">
          <w:marLeft w:val="0"/>
          <w:marRight w:val="0"/>
          <w:marTop w:val="0"/>
          <w:marBottom w:val="0"/>
          <w:divBdr>
            <w:top w:val="none" w:sz="0" w:space="0" w:color="auto"/>
            <w:left w:val="none" w:sz="0" w:space="0" w:color="auto"/>
            <w:bottom w:val="none" w:sz="0" w:space="0" w:color="auto"/>
            <w:right w:val="none" w:sz="0" w:space="0" w:color="auto"/>
          </w:divBdr>
          <w:divsChild>
            <w:div w:id="1351027480">
              <w:marLeft w:val="0"/>
              <w:marRight w:val="0"/>
              <w:marTop w:val="0"/>
              <w:marBottom w:val="0"/>
              <w:divBdr>
                <w:top w:val="none" w:sz="0" w:space="0" w:color="auto"/>
                <w:left w:val="none" w:sz="0" w:space="0" w:color="auto"/>
                <w:bottom w:val="none" w:sz="0" w:space="0" w:color="auto"/>
                <w:right w:val="none" w:sz="0" w:space="0" w:color="auto"/>
              </w:divBdr>
            </w:div>
          </w:divsChild>
        </w:div>
        <w:div w:id="841625019">
          <w:marLeft w:val="0"/>
          <w:marRight w:val="0"/>
          <w:marTop w:val="0"/>
          <w:marBottom w:val="0"/>
          <w:divBdr>
            <w:top w:val="none" w:sz="0" w:space="0" w:color="auto"/>
            <w:left w:val="none" w:sz="0" w:space="0" w:color="auto"/>
            <w:bottom w:val="none" w:sz="0" w:space="0" w:color="auto"/>
            <w:right w:val="none" w:sz="0" w:space="0" w:color="auto"/>
          </w:divBdr>
          <w:divsChild>
            <w:div w:id="615985577">
              <w:marLeft w:val="0"/>
              <w:marRight w:val="0"/>
              <w:marTop w:val="0"/>
              <w:marBottom w:val="0"/>
              <w:divBdr>
                <w:top w:val="none" w:sz="0" w:space="0" w:color="auto"/>
                <w:left w:val="none" w:sz="0" w:space="0" w:color="auto"/>
                <w:bottom w:val="none" w:sz="0" w:space="0" w:color="auto"/>
                <w:right w:val="none" w:sz="0" w:space="0" w:color="auto"/>
              </w:divBdr>
            </w:div>
          </w:divsChild>
        </w:div>
        <w:div w:id="864370661">
          <w:marLeft w:val="0"/>
          <w:marRight w:val="0"/>
          <w:marTop w:val="0"/>
          <w:marBottom w:val="0"/>
          <w:divBdr>
            <w:top w:val="none" w:sz="0" w:space="0" w:color="auto"/>
            <w:left w:val="none" w:sz="0" w:space="0" w:color="auto"/>
            <w:bottom w:val="none" w:sz="0" w:space="0" w:color="auto"/>
            <w:right w:val="none" w:sz="0" w:space="0" w:color="auto"/>
          </w:divBdr>
          <w:divsChild>
            <w:div w:id="1366901462">
              <w:marLeft w:val="0"/>
              <w:marRight w:val="0"/>
              <w:marTop w:val="0"/>
              <w:marBottom w:val="0"/>
              <w:divBdr>
                <w:top w:val="none" w:sz="0" w:space="0" w:color="auto"/>
                <w:left w:val="none" w:sz="0" w:space="0" w:color="auto"/>
                <w:bottom w:val="none" w:sz="0" w:space="0" w:color="auto"/>
                <w:right w:val="none" w:sz="0" w:space="0" w:color="auto"/>
              </w:divBdr>
            </w:div>
          </w:divsChild>
        </w:div>
        <w:div w:id="880364293">
          <w:marLeft w:val="0"/>
          <w:marRight w:val="0"/>
          <w:marTop w:val="0"/>
          <w:marBottom w:val="0"/>
          <w:divBdr>
            <w:top w:val="none" w:sz="0" w:space="0" w:color="auto"/>
            <w:left w:val="none" w:sz="0" w:space="0" w:color="auto"/>
            <w:bottom w:val="none" w:sz="0" w:space="0" w:color="auto"/>
            <w:right w:val="none" w:sz="0" w:space="0" w:color="auto"/>
          </w:divBdr>
          <w:divsChild>
            <w:div w:id="1281301163">
              <w:marLeft w:val="0"/>
              <w:marRight w:val="0"/>
              <w:marTop w:val="0"/>
              <w:marBottom w:val="0"/>
              <w:divBdr>
                <w:top w:val="none" w:sz="0" w:space="0" w:color="auto"/>
                <w:left w:val="none" w:sz="0" w:space="0" w:color="auto"/>
                <w:bottom w:val="none" w:sz="0" w:space="0" w:color="auto"/>
                <w:right w:val="none" w:sz="0" w:space="0" w:color="auto"/>
              </w:divBdr>
            </w:div>
          </w:divsChild>
        </w:div>
        <w:div w:id="881331842">
          <w:marLeft w:val="0"/>
          <w:marRight w:val="0"/>
          <w:marTop w:val="0"/>
          <w:marBottom w:val="0"/>
          <w:divBdr>
            <w:top w:val="none" w:sz="0" w:space="0" w:color="auto"/>
            <w:left w:val="none" w:sz="0" w:space="0" w:color="auto"/>
            <w:bottom w:val="none" w:sz="0" w:space="0" w:color="auto"/>
            <w:right w:val="none" w:sz="0" w:space="0" w:color="auto"/>
          </w:divBdr>
          <w:divsChild>
            <w:div w:id="1646861469">
              <w:marLeft w:val="0"/>
              <w:marRight w:val="0"/>
              <w:marTop w:val="0"/>
              <w:marBottom w:val="0"/>
              <w:divBdr>
                <w:top w:val="none" w:sz="0" w:space="0" w:color="auto"/>
                <w:left w:val="none" w:sz="0" w:space="0" w:color="auto"/>
                <w:bottom w:val="none" w:sz="0" w:space="0" w:color="auto"/>
                <w:right w:val="none" w:sz="0" w:space="0" w:color="auto"/>
              </w:divBdr>
            </w:div>
          </w:divsChild>
        </w:div>
        <w:div w:id="907617895">
          <w:marLeft w:val="0"/>
          <w:marRight w:val="0"/>
          <w:marTop w:val="0"/>
          <w:marBottom w:val="0"/>
          <w:divBdr>
            <w:top w:val="none" w:sz="0" w:space="0" w:color="auto"/>
            <w:left w:val="none" w:sz="0" w:space="0" w:color="auto"/>
            <w:bottom w:val="none" w:sz="0" w:space="0" w:color="auto"/>
            <w:right w:val="none" w:sz="0" w:space="0" w:color="auto"/>
          </w:divBdr>
          <w:divsChild>
            <w:div w:id="1836413207">
              <w:marLeft w:val="0"/>
              <w:marRight w:val="0"/>
              <w:marTop w:val="0"/>
              <w:marBottom w:val="0"/>
              <w:divBdr>
                <w:top w:val="none" w:sz="0" w:space="0" w:color="auto"/>
                <w:left w:val="none" w:sz="0" w:space="0" w:color="auto"/>
                <w:bottom w:val="none" w:sz="0" w:space="0" w:color="auto"/>
                <w:right w:val="none" w:sz="0" w:space="0" w:color="auto"/>
              </w:divBdr>
            </w:div>
          </w:divsChild>
        </w:div>
        <w:div w:id="938022669">
          <w:marLeft w:val="0"/>
          <w:marRight w:val="0"/>
          <w:marTop w:val="0"/>
          <w:marBottom w:val="0"/>
          <w:divBdr>
            <w:top w:val="none" w:sz="0" w:space="0" w:color="auto"/>
            <w:left w:val="none" w:sz="0" w:space="0" w:color="auto"/>
            <w:bottom w:val="none" w:sz="0" w:space="0" w:color="auto"/>
            <w:right w:val="none" w:sz="0" w:space="0" w:color="auto"/>
          </w:divBdr>
          <w:divsChild>
            <w:div w:id="1320426216">
              <w:marLeft w:val="0"/>
              <w:marRight w:val="0"/>
              <w:marTop w:val="0"/>
              <w:marBottom w:val="0"/>
              <w:divBdr>
                <w:top w:val="none" w:sz="0" w:space="0" w:color="auto"/>
                <w:left w:val="none" w:sz="0" w:space="0" w:color="auto"/>
                <w:bottom w:val="none" w:sz="0" w:space="0" w:color="auto"/>
                <w:right w:val="none" w:sz="0" w:space="0" w:color="auto"/>
              </w:divBdr>
            </w:div>
          </w:divsChild>
        </w:div>
        <w:div w:id="992030101">
          <w:marLeft w:val="0"/>
          <w:marRight w:val="0"/>
          <w:marTop w:val="0"/>
          <w:marBottom w:val="0"/>
          <w:divBdr>
            <w:top w:val="none" w:sz="0" w:space="0" w:color="auto"/>
            <w:left w:val="none" w:sz="0" w:space="0" w:color="auto"/>
            <w:bottom w:val="none" w:sz="0" w:space="0" w:color="auto"/>
            <w:right w:val="none" w:sz="0" w:space="0" w:color="auto"/>
          </w:divBdr>
          <w:divsChild>
            <w:div w:id="999692842">
              <w:marLeft w:val="0"/>
              <w:marRight w:val="0"/>
              <w:marTop w:val="0"/>
              <w:marBottom w:val="0"/>
              <w:divBdr>
                <w:top w:val="none" w:sz="0" w:space="0" w:color="auto"/>
                <w:left w:val="none" w:sz="0" w:space="0" w:color="auto"/>
                <w:bottom w:val="none" w:sz="0" w:space="0" w:color="auto"/>
                <w:right w:val="none" w:sz="0" w:space="0" w:color="auto"/>
              </w:divBdr>
            </w:div>
          </w:divsChild>
        </w:div>
        <w:div w:id="995034871">
          <w:marLeft w:val="0"/>
          <w:marRight w:val="0"/>
          <w:marTop w:val="0"/>
          <w:marBottom w:val="0"/>
          <w:divBdr>
            <w:top w:val="none" w:sz="0" w:space="0" w:color="auto"/>
            <w:left w:val="none" w:sz="0" w:space="0" w:color="auto"/>
            <w:bottom w:val="none" w:sz="0" w:space="0" w:color="auto"/>
            <w:right w:val="none" w:sz="0" w:space="0" w:color="auto"/>
          </w:divBdr>
          <w:divsChild>
            <w:div w:id="1275215588">
              <w:marLeft w:val="0"/>
              <w:marRight w:val="0"/>
              <w:marTop w:val="0"/>
              <w:marBottom w:val="0"/>
              <w:divBdr>
                <w:top w:val="none" w:sz="0" w:space="0" w:color="auto"/>
                <w:left w:val="none" w:sz="0" w:space="0" w:color="auto"/>
                <w:bottom w:val="none" w:sz="0" w:space="0" w:color="auto"/>
                <w:right w:val="none" w:sz="0" w:space="0" w:color="auto"/>
              </w:divBdr>
            </w:div>
          </w:divsChild>
        </w:div>
        <w:div w:id="1003582582">
          <w:marLeft w:val="0"/>
          <w:marRight w:val="0"/>
          <w:marTop w:val="0"/>
          <w:marBottom w:val="0"/>
          <w:divBdr>
            <w:top w:val="none" w:sz="0" w:space="0" w:color="auto"/>
            <w:left w:val="none" w:sz="0" w:space="0" w:color="auto"/>
            <w:bottom w:val="none" w:sz="0" w:space="0" w:color="auto"/>
            <w:right w:val="none" w:sz="0" w:space="0" w:color="auto"/>
          </w:divBdr>
          <w:divsChild>
            <w:div w:id="523402804">
              <w:marLeft w:val="0"/>
              <w:marRight w:val="0"/>
              <w:marTop w:val="0"/>
              <w:marBottom w:val="0"/>
              <w:divBdr>
                <w:top w:val="none" w:sz="0" w:space="0" w:color="auto"/>
                <w:left w:val="none" w:sz="0" w:space="0" w:color="auto"/>
                <w:bottom w:val="none" w:sz="0" w:space="0" w:color="auto"/>
                <w:right w:val="none" w:sz="0" w:space="0" w:color="auto"/>
              </w:divBdr>
            </w:div>
          </w:divsChild>
        </w:div>
        <w:div w:id="1065448392">
          <w:marLeft w:val="0"/>
          <w:marRight w:val="0"/>
          <w:marTop w:val="0"/>
          <w:marBottom w:val="0"/>
          <w:divBdr>
            <w:top w:val="none" w:sz="0" w:space="0" w:color="auto"/>
            <w:left w:val="none" w:sz="0" w:space="0" w:color="auto"/>
            <w:bottom w:val="none" w:sz="0" w:space="0" w:color="auto"/>
            <w:right w:val="none" w:sz="0" w:space="0" w:color="auto"/>
          </w:divBdr>
          <w:divsChild>
            <w:div w:id="12079358">
              <w:marLeft w:val="0"/>
              <w:marRight w:val="0"/>
              <w:marTop w:val="0"/>
              <w:marBottom w:val="0"/>
              <w:divBdr>
                <w:top w:val="none" w:sz="0" w:space="0" w:color="auto"/>
                <w:left w:val="none" w:sz="0" w:space="0" w:color="auto"/>
                <w:bottom w:val="none" w:sz="0" w:space="0" w:color="auto"/>
                <w:right w:val="none" w:sz="0" w:space="0" w:color="auto"/>
              </w:divBdr>
            </w:div>
          </w:divsChild>
        </w:div>
        <w:div w:id="1077826795">
          <w:marLeft w:val="0"/>
          <w:marRight w:val="0"/>
          <w:marTop w:val="0"/>
          <w:marBottom w:val="0"/>
          <w:divBdr>
            <w:top w:val="none" w:sz="0" w:space="0" w:color="auto"/>
            <w:left w:val="none" w:sz="0" w:space="0" w:color="auto"/>
            <w:bottom w:val="none" w:sz="0" w:space="0" w:color="auto"/>
            <w:right w:val="none" w:sz="0" w:space="0" w:color="auto"/>
          </w:divBdr>
          <w:divsChild>
            <w:div w:id="45766470">
              <w:marLeft w:val="0"/>
              <w:marRight w:val="0"/>
              <w:marTop w:val="0"/>
              <w:marBottom w:val="0"/>
              <w:divBdr>
                <w:top w:val="none" w:sz="0" w:space="0" w:color="auto"/>
                <w:left w:val="none" w:sz="0" w:space="0" w:color="auto"/>
                <w:bottom w:val="none" w:sz="0" w:space="0" w:color="auto"/>
                <w:right w:val="none" w:sz="0" w:space="0" w:color="auto"/>
              </w:divBdr>
            </w:div>
          </w:divsChild>
        </w:div>
        <w:div w:id="1117337493">
          <w:marLeft w:val="0"/>
          <w:marRight w:val="0"/>
          <w:marTop w:val="0"/>
          <w:marBottom w:val="0"/>
          <w:divBdr>
            <w:top w:val="none" w:sz="0" w:space="0" w:color="auto"/>
            <w:left w:val="none" w:sz="0" w:space="0" w:color="auto"/>
            <w:bottom w:val="none" w:sz="0" w:space="0" w:color="auto"/>
            <w:right w:val="none" w:sz="0" w:space="0" w:color="auto"/>
          </w:divBdr>
          <w:divsChild>
            <w:div w:id="701052827">
              <w:marLeft w:val="0"/>
              <w:marRight w:val="0"/>
              <w:marTop w:val="0"/>
              <w:marBottom w:val="0"/>
              <w:divBdr>
                <w:top w:val="none" w:sz="0" w:space="0" w:color="auto"/>
                <w:left w:val="none" w:sz="0" w:space="0" w:color="auto"/>
                <w:bottom w:val="none" w:sz="0" w:space="0" w:color="auto"/>
                <w:right w:val="none" w:sz="0" w:space="0" w:color="auto"/>
              </w:divBdr>
            </w:div>
          </w:divsChild>
        </w:div>
        <w:div w:id="1156843903">
          <w:marLeft w:val="0"/>
          <w:marRight w:val="0"/>
          <w:marTop w:val="0"/>
          <w:marBottom w:val="0"/>
          <w:divBdr>
            <w:top w:val="none" w:sz="0" w:space="0" w:color="auto"/>
            <w:left w:val="none" w:sz="0" w:space="0" w:color="auto"/>
            <w:bottom w:val="none" w:sz="0" w:space="0" w:color="auto"/>
            <w:right w:val="none" w:sz="0" w:space="0" w:color="auto"/>
          </w:divBdr>
          <w:divsChild>
            <w:div w:id="1333219532">
              <w:marLeft w:val="0"/>
              <w:marRight w:val="0"/>
              <w:marTop w:val="0"/>
              <w:marBottom w:val="0"/>
              <w:divBdr>
                <w:top w:val="none" w:sz="0" w:space="0" w:color="auto"/>
                <w:left w:val="none" w:sz="0" w:space="0" w:color="auto"/>
                <w:bottom w:val="none" w:sz="0" w:space="0" w:color="auto"/>
                <w:right w:val="none" w:sz="0" w:space="0" w:color="auto"/>
              </w:divBdr>
            </w:div>
          </w:divsChild>
        </w:div>
        <w:div w:id="1180394652">
          <w:marLeft w:val="0"/>
          <w:marRight w:val="0"/>
          <w:marTop w:val="0"/>
          <w:marBottom w:val="0"/>
          <w:divBdr>
            <w:top w:val="none" w:sz="0" w:space="0" w:color="auto"/>
            <w:left w:val="none" w:sz="0" w:space="0" w:color="auto"/>
            <w:bottom w:val="none" w:sz="0" w:space="0" w:color="auto"/>
            <w:right w:val="none" w:sz="0" w:space="0" w:color="auto"/>
          </w:divBdr>
          <w:divsChild>
            <w:div w:id="643242861">
              <w:marLeft w:val="0"/>
              <w:marRight w:val="0"/>
              <w:marTop w:val="0"/>
              <w:marBottom w:val="0"/>
              <w:divBdr>
                <w:top w:val="none" w:sz="0" w:space="0" w:color="auto"/>
                <w:left w:val="none" w:sz="0" w:space="0" w:color="auto"/>
                <w:bottom w:val="none" w:sz="0" w:space="0" w:color="auto"/>
                <w:right w:val="none" w:sz="0" w:space="0" w:color="auto"/>
              </w:divBdr>
            </w:div>
          </w:divsChild>
        </w:div>
        <w:div w:id="1221944758">
          <w:marLeft w:val="0"/>
          <w:marRight w:val="0"/>
          <w:marTop w:val="0"/>
          <w:marBottom w:val="0"/>
          <w:divBdr>
            <w:top w:val="none" w:sz="0" w:space="0" w:color="auto"/>
            <w:left w:val="none" w:sz="0" w:space="0" w:color="auto"/>
            <w:bottom w:val="none" w:sz="0" w:space="0" w:color="auto"/>
            <w:right w:val="none" w:sz="0" w:space="0" w:color="auto"/>
          </w:divBdr>
          <w:divsChild>
            <w:div w:id="536701324">
              <w:marLeft w:val="0"/>
              <w:marRight w:val="0"/>
              <w:marTop w:val="0"/>
              <w:marBottom w:val="0"/>
              <w:divBdr>
                <w:top w:val="none" w:sz="0" w:space="0" w:color="auto"/>
                <w:left w:val="none" w:sz="0" w:space="0" w:color="auto"/>
                <w:bottom w:val="none" w:sz="0" w:space="0" w:color="auto"/>
                <w:right w:val="none" w:sz="0" w:space="0" w:color="auto"/>
              </w:divBdr>
            </w:div>
          </w:divsChild>
        </w:div>
        <w:div w:id="1237666657">
          <w:marLeft w:val="0"/>
          <w:marRight w:val="0"/>
          <w:marTop w:val="0"/>
          <w:marBottom w:val="0"/>
          <w:divBdr>
            <w:top w:val="none" w:sz="0" w:space="0" w:color="auto"/>
            <w:left w:val="none" w:sz="0" w:space="0" w:color="auto"/>
            <w:bottom w:val="none" w:sz="0" w:space="0" w:color="auto"/>
            <w:right w:val="none" w:sz="0" w:space="0" w:color="auto"/>
          </w:divBdr>
          <w:divsChild>
            <w:div w:id="754978392">
              <w:marLeft w:val="0"/>
              <w:marRight w:val="0"/>
              <w:marTop w:val="0"/>
              <w:marBottom w:val="0"/>
              <w:divBdr>
                <w:top w:val="none" w:sz="0" w:space="0" w:color="auto"/>
                <w:left w:val="none" w:sz="0" w:space="0" w:color="auto"/>
                <w:bottom w:val="none" w:sz="0" w:space="0" w:color="auto"/>
                <w:right w:val="none" w:sz="0" w:space="0" w:color="auto"/>
              </w:divBdr>
            </w:div>
          </w:divsChild>
        </w:div>
        <w:div w:id="1240948685">
          <w:marLeft w:val="0"/>
          <w:marRight w:val="0"/>
          <w:marTop w:val="0"/>
          <w:marBottom w:val="0"/>
          <w:divBdr>
            <w:top w:val="none" w:sz="0" w:space="0" w:color="auto"/>
            <w:left w:val="none" w:sz="0" w:space="0" w:color="auto"/>
            <w:bottom w:val="none" w:sz="0" w:space="0" w:color="auto"/>
            <w:right w:val="none" w:sz="0" w:space="0" w:color="auto"/>
          </w:divBdr>
          <w:divsChild>
            <w:div w:id="1086421890">
              <w:marLeft w:val="0"/>
              <w:marRight w:val="0"/>
              <w:marTop w:val="0"/>
              <w:marBottom w:val="0"/>
              <w:divBdr>
                <w:top w:val="none" w:sz="0" w:space="0" w:color="auto"/>
                <w:left w:val="none" w:sz="0" w:space="0" w:color="auto"/>
                <w:bottom w:val="none" w:sz="0" w:space="0" w:color="auto"/>
                <w:right w:val="none" w:sz="0" w:space="0" w:color="auto"/>
              </w:divBdr>
            </w:div>
          </w:divsChild>
        </w:div>
        <w:div w:id="1348750496">
          <w:marLeft w:val="0"/>
          <w:marRight w:val="0"/>
          <w:marTop w:val="0"/>
          <w:marBottom w:val="0"/>
          <w:divBdr>
            <w:top w:val="none" w:sz="0" w:space="0" w:color="auto"/>
            <w:left w:val="none" w:sz="0" w:space="0" w:color="auto"/>
            <w:bottom w:val="none" w:sz="0" w:space="0" w:color="auto"/>
            <w:right w:val="none" w:sz="0" w:space="0" w:color="auto"/>
          </w:divBdr>
          <w:divsChild>
            <w:div w:id="76249329">
              <w:marLeft w:val="0"/>
              <w:marRight w:val="0"/>
              <w:marTop w:val="0"/>
              <w:marBottom w:val="0"/>
              <w:divBdr>
                <w:top w:val="none" w:sz="0" w:space="0" w:color="auto"/>
                <w:left w:val="none" w:sz="0" w:space="0" w:color="auto"/>
                <w:bottom w:val="none" w:sz="0" w:space="0" w:color="auto"/>
                <w:right w:val="none" w:sz="0" w:space="0" w:color="auto"/>
              </w:divBdr>
            </w:div>
          </w:divsChild>
        </w:div>
        <w:div w:id="1351837921">
          <w:marLeft w:val="0"/>
          <w:marRight w:val="0"/>
          <w:marTop w:val="0"/>
          <w:marBottom w:val="0"/>
          <w:divBdr>
            <w:top w:val="none" w:sz="0" w:space="0" w:color="auto"/>
            <w:left w:val="none" w:sz="0" w:space="0" w:color="auto"/>
            <w:bottom w:val="none" w:sz="0" w:space="0" w:color="auto"/>
            <w:right w:val="none" w:sz="0" w:space="0" w:color="auto"/>
          </w:divBdr>
          <w:divsChild>
            <w:div w:id="1570842695">
              <w:marLeft w:val="0"/>
              <w:marRight w:val="0"/>
              <w:marTop w:val="0"/>
              <w:marBottom w:val="0"/>
              <w:divBdr>
                <w:top w:val="none" w:sz="0" w:space="0" w:color="auto"/>
                <w:left w:val="none" w:sz="0" w:space="0" w:color="auto"/>
                <w:bottom w:val="none" w:sz="0" w:space="0" w:color="auto"/>
                <w:right w:val="none" w:sz="0" w:space="0" w:color="auto"/>
              </w:divBdr>
            </w:div>
          </w:divsChild>
        </w:div>
        <w:div w:id="1457024424">
          <w:marLeft w:val="0"/>
          <w:marRight w:val="0"/>
          <w:marTop w:val="0"/>
          <w:marBottom w:val="0"/>
          <w:divBdr>
            <w:top w:val="none" w:sz="0" w:space="0" w:color="auto"/>
            <w:left w:val="none" w:sz="0" w:space="0" w:color="auto"/>
            <w:bottom w:val="none" w:sz="0" w:space="0" w:color="auto"/>
            <w:right w:val="none" w:sz="0" w:space="0" w:color="auto"/>
          </w:divBdr>
          <w:divsChild>
            <w:div w:id="190923206">
              <w:marLeft w:val="0"/>
              <w:marRight w:val="0"/>
              <w:marTop w:val="0"/>
              <w:marBottom w:val="0"/>
              <w:divBdr>
                <w:top w:val="none" w:sz="0" w:space="0" w:color="auto"/>
                <w:left w:val="none" w:sz="0" w:space="0" w:color="auto"/>
                <w:bottom w:val="none" w:sz="0" w:space="0" w:color="auto"/>
                <w:right w:val="none" w:sz="0" w:space="0" w:color="auto"/>
              </w:divBdr>
            </w:div>
          </w:divsChild>
        </w:div>
        <w:div w:id="1459301793">
          <w:marLeft w:val="0"/>
          <w:marRight w:val="0"/>
          <w:marTop w:val="0"/>
          <w:marBottom w:val="0"/>
          <w:divBdr>
            <w:top w:val="none" w:sz="0" w:space="0" w:color="auto"/>
            <w:left w:val="none" w:sz="0" w:space="0" w:color="auto"/>
            <w:bottom w:val="none" w:sz="0" w:space="0" w:color="auto"/>
            <w:right w:val="none" w:sz="0" w:space="0" w:color="auto"/>
          </w:divBdr>
          <w:divsChild>
            <w:div w:id="1710032468">
              <w:marLeft w:val="0"/>
              <w:marRight w:val="0"/>
              <w:marTop w:val="0"/>
              <w:marBottom w:val="0"/>
              <w:divBdr>
                <w:top w:val="none" w:sz="0" w:space="0" w:color="auto"/>
                <w:left w:val="none" w:sz="0" w:space="0" w:color="auto"/>
                <w:bottom w:val="none" w:sz="0" w:space="0" w:color="auto"/>
                <w:right w:val="none" w:sz="0" w:space="0" w:color="auto"/>
              </w:divBdr>
            </w:div>
          </w:divsChild>
        </w:div>
        <w:div w:id="1479684485">
          <w:marLeft w:val="0"/>
          <w:marRight w:val="0"/>
          <w:marTop w:val="0"/>
          <w:marBottom w:val="0"/>
          <w:divBdr>
            <w:top w:val="none" w:sz="0" w:space="0" w:color="auto"/>
            <w:left w:val="none" w:sz="0" w:space="0" w:color="auto"/>
            <w:bottom w:val="none" w:sz="0" w:space="0" w:color="auto"/>
            <w:right w:val="none" w:sz="0" w:space="0" w:color="auto"/>
          </w:divBdr>
          <w:divsChild>
            <w:div w:id="1285575805">
              <w:marLeft w:val="0"/>
              <w:marRight w:val="0"/>
              <w:marTop w:val="0"/>
              <w:marBottom w:val="0"/>
              <w:divBdr>
                <w:top w:val="none" w:sz="0" w:space="0" w:color="auto"/>
                <w:left w:val="none" w:sz="0" w:space="0" w:color="auto"/>
                <w:bottom w:val="none" w:sz="0" w:space="0" w:color="auto"/>
                <w:right w:val="none" w:sz="0" w:space="0" w:color="auto"/>
              </w:divBdr>
            </w:div>
          </w:divsChild>
        </w:div>
        <w:div w:id="1563255510">
          <w:marLeft w:val="0"/>
          <w:marRight w:val="0"/>
          <w:marTop w:val="0"/>
          <w:marBottom w:val="0"/>
          <w:divBdr>
            <w:top w:val="none" w:sz="0" w:space="0" w:color="auto"/>
            <w:left w:val="none" w:sz="0" w:space="0" w:color="auto"/>
            <w:bottom w:val="none" w:sz="0" w:space="0" w:color="auto"/>
            <w:right w:val="none" w:sz="0" w:space="0" w:color="auto"/>
          </w:divBdr>
          <w:divsChild>
            <w:div w:id="1277642399">
              <w:marLeft w:val="0"/>
              <w:marRight w:val="0"/>
              <w:marTop w:val="0"/>
              <w:marBottom w:val="0"/>
              <w:divBdr>
                <w:top w:val="none" w:sz="0" w:space="0" w:color="auto"/>
                <w:left w:val="none" w:sz="0" w:space="0" w:color="auto"/>
                <w:bottom w:val="none" w:sz="0" w:space="0" w:color="auto"/>
                <w:right w:val="none" w:sz="0" w:space="0" w:color="auto"/>
              </w:divBdr>
            </w:div>
          </w:divsChild>
        </w:div>
        <w:div w:id="1588877777">
          <w:marLeft w:val="0"/>
          <w:marRight w:val="0"/>
          <w:marTop w:val="0"/>
          <w:marBottom w:val="0"/>
          <w:divBdr>
            <w:top w:val="none" w:sz="0" w:space="0" w:color="auto"/>
            <w:left w:val="none" w:sz="0" w:space="0" w:color="auto"/>
            <w:bottom w:val="none" w:sz="0" w:space="0" w:color="auto"/>
            <w:right w:val="none" w:sz="0" w:space="0" w:color="auto"/>
          </w:divBdr>
          <w:divsChild>
            <w:div w:id="490753122">
              <w:marLeft w:val="0"/>
              <w:marRight w:val="0"/>
              <w:marTop w:val="0"/>
              <w:marBottom w:val="0"/>
              <w:divBdr>
                <w:top w:val="none" w:sz="0" w:space="0" w:color="auto"/>
                <w:left w:val="none" w:sz="0" w:space="0" w:color="auto"/>
                <w:bottom w:val="none" w:sz="0" w:space="0" w:color="auto"/>
                <w:right w:val="none" w:sz="0" w:space="0" w:color="auto"/>
              </w:divBdr>
            </w:div>
          </w:divsChild>
        </w:div>
        <w:div w:id="1594973343">
          <w:marLeft w:val="0"/>
          <w:marRight w:val="0"/>
          <w:marTop w:val="0"/>
          <w:marBottom w:val="0"/>
          <w:divBdr>
            <w:top w:val="none" w:sz="0" w:space="0" w:color="auto"/>
            <w:left w:val="none" w:sz="0" w:space="0" w:color="auto"/>
            <w:bottom w:val="none" w:sz="0" w:space="0" w:color="auto"/>
            <w:right w:val="none" w:sz="0" w:space="0" w:color="auto"/>
          </w:divBdr>
          <w:divsChild>
            <w:div w:id="59670423">
              <w:marLeft w:val="0"/>
              <w:marRight w:val="0"/>
              <w:marTop w:val="0"/>
              <w:marBottom w:val="0"/>
              <w:divBdr>
                <w:top w:val="none" w:sz="0" w:space="0" w:color="auto"/>
                <w:left w:val="none" w:sz="0" w:space="0" w:color="auto"/>
                <w:bottom w:val="none" w:sz="0" w:space="0" w:color="auto"/>
                <w:right w:val="none" w:sz="0" w:space="0" w:color="auto"/>
              </w:divBdr>
            </w:div>
          </w:divsChild>
        </w:div>
        <w:div w:id="1651516729">
          <w:marLeft w:val="0"/>
          <w:marRight w:val="0"/>
          <w:marTop w:val="0"/>
          <w:marBottom w:val="0"/>
          <w:divBdr>
            <w:top w:val="none" w:sz="0" w:space="0" w:color="auto"/>
            <w:left w:val="none" w:sz="0" w:space="0" w:color="auto"/>
            <w:bottom w:val="none" w:sz="0" w:space="0" w:color="auto"/>
            <w:right w:val="none" w:sz="0" w:space="0" w:color="auto"/>
          </w:divBdr>
          <w:divsChild>
            <w:div w:id="222108496">
              <w:marLeft w:val="0"/>
              <w:marRight w:val="0"/>
              <w:marTop w:val="0"/>
              <w:marBottom w:val="0"/>
              <w:divBdr>
                <w:top w:val="none" w:sz="0" w:space="0" w:color="auto"/>
                <w:left w:val="none" w:sz="0" w:space="0" w:color="auto"/>
                <w:bottom w:val="none" w:sz="0" w:space="0" w:color="auto"/>
                <w:right w:val="none" w:sz="0" w:space="0" w:color="auto"/>
              </w:divBdr>
            </w:div>
          </w:divsChild>
        </w:div>
        <w:div w:id="1688172525">
          <w:marLeft w:val="0"/>
          <w:marRight w:val="0"/>
          <w:marTop w:val="0"/>
          <w:marBottom w:val="0"/>
          <w:divBdr>
            <w:top w:val="none" w:sz="0" w:space="0" w:color="auto"/>
            <w:left w:val="none" w:sz="0" w:space="0" w:color="auto"/>
            <w:bottom w:val="none" w:sz="0" w:space="0" w:color="auto"/>
            <w:right w:val="none" w:sz="0" w:space="0" w:color="auto"/>
          </w:divBdr>
          <w:divsChild>
            <w:div w:id="1683894722">
              <w:marLeft w:val="0"/>
              <w:marRight w:val="0"/>
              <w:marTop w:val="0"/>
              <w:marBottom w:val="0"/>
              <w:divBdr>
                <w:top w:val="none" w:sz="0" w:space="0" w:color="auto"/>
                <w:left w:val="none" w:sz="0" w:space="0" w:color="auto"/>
                <w:bottom w:val="none" w:sz="0" w:space="0" w:color="auto"/>
                <w:right w:val="none" w:sz="0" w:space="0" w:color="auto"/>
              </w:divBdr>
            </w:div>
          </w:divsChild>
        </w:div>
        <w:div w:id="1723216508">
          <w:marLeft w:val="0"/>
          <w:marRight w:val="0"/>
          <w:marTop w:val="0"/>
          <w:marBottom w:val="0"/>
          <w:divBdr>
            <w:top w:val="none" w:sz="0" w:space="0" w:color="auto"/>
            <w:left w:val="none" w:sz="0" w:space="0" w:color="auto"/>
            <w:bottom w:val="none" w:sz="0" w:space="0" w:color="auto"/>
            <w:right w:val="none" w:sz="0" w:space="0" w:color="auto"/>
          </w:divBdr>
          <w:divsChild>
            <w:div w:id="1361274993">
              <w:marLeft w:val="0"/>
              <w:marRight w:val="0"/>
              <w:marTop w:val="0"/>
              <w:marBottom w:val="0"/>
              <w:divBdr>
                <w:top w:val="none" w:sz="0" w:space="0" w:color="auto"/>
                <w:left w:val="none" w:sz="0" w:space="0" w:color="auto"/>
                <w:bottom w:val="none" w:sz="0" w:space="0" w:color="auto"/>
                <w:right w:val="none" w:sz="0" w:space="0" w:color="auto"/>
              </w:divBdr>
            </w:div>
          </w:divsChild>
        </w:div>
        <w:div w:id="1728338530">
          <w:marLeft w:val="0"/>
          <w:marRight w:val="0"/>
          <w:marTop w:val="0"/>
          <w:marBottom w:val="0"/>
          <w:divBdr>
            <w:top w:val="none" w:sz="0" w:space="0" w:color="auto"/>
            <w:left w:val="none" w:sz="0" w:space="0" w:color="auto"/>
            <w:bottom w:val="none" w:sz="0" w:space="0" w:color="auto"/>
            <w:right w:val="none" w:sz="0" w:space="0" w:color="auto"/>
          </w:divBdr>
          <w:divsChild>
            <w:div w:id="63918639">
              <w:marLeft w:val="0"/>
              <w:marRight w:val="0"/>
              <w:marTop w:val="0"/>
              <w:marBottom w:val="0"/>
              <w:divBdr>
                <w:top w:val="none" w:sz="0" w:space="0" w:color="auto"/>
                <w:left w:val="none" w:sz="0" w:space="0" w:color="auto"/>
                <w:bottom w:val="none" w:sz="0" w:space="0" w:color="auto"/>
                <w:right w:val="none" w:sz="0" w:space="0" w:color="auto"/>
              </w:divBdr>
            </w:div>
          </w:divsChild>
        </w:div>
        <w:div w:id="1757360581">
          <w:marLeft w:val="0"/>
          <w:marRight w:val="0"/>
          <w:marTop w:val="0"/>
          <w:marBottom w:val="0"/>
          <w:divBdr>
            <w:top w:val="none" w:sz="0" w:space="0" w:color="auto"/>
            <w:left w:val="none" w:sz="0" w:space="0" w:color="auto"/>
            <w:bottom w:val="none" w:sz="0" w:space="0" w:color="auto"/>
            <w:right w:val="none" w:sz="0" w:space="0" w:color="auto"/>
          </w:divBdr>
          <w:divsChild>
            <w:div w:id="285933744">
              <w:marLeft w:val="0"/>
              <w:marRight w:val="0"/>
              <w:marTop w:val="0"/>
              <w:marBottom w:val="0"/>
              <w:divBdr>
                <w:top w:val="none" w:sz="0" w:space="0" w:color="auto"/>
                <w:left w:val="none" w:sz="0" w:space="0" w:color="auto"/>
                <w:bottom w:val="none" w:sz="0" w:space="0" w:color="auto"/>
                <w:right w:val="none" w:sz="0" w:space="0" w:color="auto"/>
              </w:divBdr>
            </w:div>
          </w:divsChild>
        </w:div>
        <w:div w:id="1762942824">
          <w:marLeft w:val="0"/>
          <w:marRight w:val="0"/>
          <w:marTop w:val="0"/>
          <w:marBottom w:val="0"/>
          <w:divBdr>
            <w:top w:val="none" w:sz="0" w:space="0" w:color="auto"/>
            <w:left w:val="none" w:sz="0" w:space="0" w:color="auto"/>
            <w:bottom w:val="none" w:sz="0" w:space="0" w:color="auto"/>
            <w:right w:val="none" w:sz="0" w:space="0" w:color="auto"/>
          </w:divBdr>
          <w:divsChild>
            <w:div w:id="1661428238">
              <w:marLeft w:val="0"/>
              <w:marRight w:val="0"/>
              <w:marTop w:val="0"/>
              <w:marBottom w:val="0"/>
              <w:divBdr>
                <w:top w:val="none" w:sz="0" w:space="0" w:color="auto"/>
                <w:left w:val="none" w:sz="0" w:space="0" w:color="auto"/>
                <w:bottom w:val="none" w:sz="0" w:space="0" w:color="auto"/>
                <w:right w:val="none" w:sz="0" w:space="0" w:color="auto"/>
              </w:divBdr>
            </w:div>
          </w:divsChild>
        </w:div>
        <w:div w:id="1767924392">
          <w:marLeft w:val="0"/>
          <w:marRight w:val="0"/>
          <w:marTop w:val="0"/>
          <w:marBottom w:val="0"/>
          <w:divBdr>
            <w:top w:val="none" w:sz="0" w:space="0" w:color="auto"/>
            <w:left w:val="none" w:sz="0" w:space="0" w:color="auto"/>
            <w:bottom w:val="none" w:sz="0" w:space="0" w:color="auto"/>
            <w:right w:val="none" w:sz="0" w:space="0" w:color="auto"/>
          </w:divBdr>
          <w:divsChild>
            <w:div w:id="1940411487">
              <w:marLeft w:val="0"/>
              <w:marRight w:val="0"/>
              <w:marTop w:val="0"/>
              <w:marBottom w:val="0"/>
              <w:divBdr>
                <w:top w:val="none" w:sz="0" w:space="0" w:color="auto"/>
                <w:left w:val="none" w:sz="0" w:space="0" w:color="auto"/>
                <w:bottom w:val="none" w:sz="0" w:space="0" w:color="auto"/>
                <w:right w:val="none" w:sz="0" w:space="0" w:color="auto"/>
              </w:divBdr>
            </w:div>
          </w:divsChild>
        </w:div>
        <w:div w:id="1771005851">
          <w:marLeft w:val="0"/>
          <w:marRight w:val="0"/>
          <w:marTop w:val="0"/>
          <w:marBottom w:val="0"/>
          <w:divBdr>
            <w:top w:val="none" w:sz="0" w:space="0" w:color="auto"/>
            <w:left w:val="none" w:sz="0" w:space="0" w:color="auto"/>
            <w:bottom w:val="none" w:sz="0" w:space="0" w:color="auto"/>
            <w:right w:val="none" w:sz="0" w:space="0" w:color="auto"/>
          </w:divBdr>
          <w:divsChild>
            <w:div w:id="1492335192">
              <w:marLeft w:val="0"/>
              <w:marRight w:val="0"/>
              <w:marTop w:val="0"/>
              <w:marBottom w:val="0"/>
              <w:divBdr>
                <w:top w:val="none" w:sz="0" w:space="0" w:color="auto"/>
                <w:left w:val="none" w:sz="0" w:space="0" w:color="auto"/>
                <w:bottom w:val="none" w:sz="0" w:space="0" w:color="auto"/>
                <w:right w:val="none" w:sz="0" w:space="0" w:color="auto"/>
              </w:divBdr>
            </w:div>
          </w:divsChild>
        </w:div>
        <w:div w:id="1784568808">
          <w:marLeft w:val="0"/>
          <w:marRight w:val="0"/>
          <w:marTop w:val="0"/>
          <w:marBottom w:val="0"/>
          <w:divBdr>
            <w:top w:val="none" w:sz="0" w:space="0" w:color="auto"/>
            <w:left w:val="none" w:sz="0" w:space="0" w:color="auto"/>
            <w:bottom w:val="none" w:sz="0" w:space="0" w:color="auto"/>
            <w:right w:val="none" w:sz="0" w:space="0" w:color="auto"/>
          </w:divBdr>
          <w:divsChild>
            <w:div w:id="1726677812">
              <w:marLeft w:val="0"/>
              <w:marRight w:val="0"/>
              <w:marTop w:val="0"/>
              <w:marBottom w:val="0"/>
              <w:divBdr>
                <w:top w:val="none" w:sz="0" w:space="0" w:color="auto"/>
                <w:left w:val="none" w:sz="0" w:space="0" w:color="auto"/>
                <w:bottom w:val="none" w:sz="0" w:space="0" w:color="auto"/>
                <w:right w:val="none" w:sz="0" w:space="0" w:color="auto"/>
              </w:divBdr>
            </w:div>
          </w:divsChild>
        </w:div>
        <w:div w:id="1794136249">
          <w:marLeft w:val="0"/>
          <w:marRight w:val="0"/>
          <w:marTop w:val="0"/>
          <w:marBottom w:val="0"/>
          <w:divBdr>
            <w:top w:val="none" w:sz="0" w:space="0" w:color="auto"/>
            <w:left w:val="none" w:sz="0" w:space="0" w:color="auto"/>
            <w:bottom w:val="none" w:sz="0" w:space="0" w:color="auto"/>
            <w:right w:val="none" w:sz="0" w:space="0" w:color="auto"/>
          </w:divBdr>
          <w:divsChild>
            <w:div w:id="1134716794">
              <w:marLeft w:val="0"/>
              <w:marRight w:val="0"/>
              <w:marTop w:val="0"/>
              <w:marBottom w:val="0"/>
              <w:divBdr>
                <w:top w:val="none" w:sz="0" w:space="0" w:color="auto"/>
                <w:left w:val="none" w:sz="0" w:space="0" w:color="auto"/>
                <w:bottom w:val="none" w:sz="0" w:space="0" w:color="auto"/>
                <w:right w:val="none" w:sz="0" w:space="0" w:color="auto"/>
              </w:divBdr>
            </w:div>
          </w:divsChild>
        </w:div>
        <w:div w:id="1813793269">
          <w:marLeft w:val="0"/>
          <w:marRight w:val="0"/>
          <w:marTop w:val="0"/>
          <w:marBottom w:val="0"/>
          <w:divBdr>
            <w:top w:val="none" w:sz="0" w:space="0" w:color="auto"/>
            <w:left w:val="none" w:sz="0" w:space="0" w:color="auto"/>
            <w:bottom w:val="none" w:sz="0" w:space="0" w:color="auto"/>
            <w:right w:val="none" w:sz="0" w:space="0" w:color="auto"/>
          </w:divBdr>
          <w:divsChild>
            <w:div w:id="1553074810">
              <w:marLeft w:val="0"/>
              <w:marRight w:val="0"/>
              <w:marTop w:val="0"/>
              <w:marBottom w:val="0"/>
              <w:divBdr>
                <w:top w:val="none" w:sz="0" w:space="0" w:color="auto"/>
                <w:left w:val="none" w:sz="0" w:space="0" w:color="auto"/>
                <w:bottom w:val="none" w:sz="0" w:space="0" w:color="auto"/>
                <w:right w:val="none" w:sz="0" w:space="0" w:color="auto"/>
              </w:divBdr>
            </w:div>
          </w:divsChild>
        </w:div>
        <w:div w:id="1875270989">
          <w:marLeft w:val="0"/>
          <w:marRight w:val="0"/>
          <w:marTop w:val="0"/>
          <w:marBottom w:val="0"/>
          <w:divBdr>
            <w:top w:val="none" w:sz="0" w:space="0" w:color="auto"/>
            <w:left w:val="none" w:sz="0" w:space="0" w:color="auto"/>
            <w:bottom w:val="none" w:sz="0" w:space="0" w:color="auto"/>
            <w:right w:val="none" w:sz="0" w:space="0" w:color="auto"/>
          </w:divBdr>
          <w:divsChild>
            <w:div w:id="1613323624">
              <w:marLeft w:val="0"/>
              <w:marRight w:val="0"/>
              <w:marTop w:val="0"/>
              <w:marBottom w:val="0"/>
              <w:divBdr>
                <w:top w:val="none" w:sz="0" w:space="0" w:color="auto"/>
                <w:left w:val="none" w:sz="0" w:space="0" w:color="auto"/>
                <w:bottom w:val="none" w:sz="0" w:space="0" w:color="auto"/>
                <w:right w:val="none" w:sz="0" w:space="0" w:color="auto"/>
              </w:divBdr>
            </w:div>
          </w:divsChild>
        </w:div>
        <w:div w:id="1893228683">
          <w:marLeft w:val="0"/>
          <w:marRight w:val="0"/>
          <w:marTop w:val="0"/>
          <w:marBottom w:val="0"/>
          <w:divBdr>
            <w:top w:val="none" w:sz="0" w:space="0" w:color="auto"/>
            <w:left w:val="none" w:sz="0" w:space="0" w:color="auto"/>
            <w:bottom w:val="none" w:sz="0" w:space="0" w:color="auto"/>
            <w:right w:val="none" w:sz="0" w:space="0" w:color="auto"/>
          </w:divBdr>
          <w:divsChild>
            <w:div w:id="1788619361">
              <w:marLeft w:val="0"/>
              <w:marRight w:val="0"/>
              <w:marTop w:val="0"/>
              <w:marBottom w:val="0"/>
              <w:divBdr>
                <w:top w:val="none" w:sz="0" w:space="0" w:color="auto"/>
                <w:left w:val="none" w:sz="0" w:space="0" w:color="auto"/>
                <w:bottom w:val="none" w:sz="0" w:space="0" w:color="auto"/>
                <w:right w:val="none" w:sz="0" w:space="0" w:color="auto"/>
              </w:divBdr>
            </w:div>
          </w:divsChild>
        </w:div>
        <w:div w:id="1945922903">
          <w:marLeft w:val="0"/>
          <w:marRight w:val="0"/>
          <w:marTop w:val="0"/>
          <w:marBottom w:val="0"/>
          <w:divBdr>
            <w:top w:val="none" w:sz="0" w:space="0" w:color="auto"/>
            <w:left w:val="none" w:sz="0" w:space="0" w:color="auto"/>
            <w:bottom w:val="none" w:sz="0" w:space="0" w:color="auto"/>
            <w:right w:val="none" w:sz="0" w:space="0" w:color="auto"/>
          </w:divBdr>
          <w:divsChild>
            <w:div w:id="1000766592">
              <w:marLeft w:val="0"/>
              <w:marRight w:val="0"/>
              <w:marTop w:val="0"/>
              <w:marBottom w:val="0"/>
              <w:divBdr>
                <w:top w:val="none" w:sz="0" w:space="0" w:color="auto"/>
                <w:left w:val="none" w:sz="0" w:space="0" w:color="auto"/>
                <w:bottom w:val="none" w:sz="0" w:space="0" w:color="auto"/>
                <w:right w:val="none" w:sz="0" w:space="0" w:color="auto"/>
              </w:divBdr>
            </w:div>
          </w:divsChild>
        </w:div>
        <w:div w:id="1952931848">
          <w:marLeft w:val="0"/>
          <w:marRight w:val="0"/>
          <w:marTop w:val="0"/>
          <w:marBottom w:val="0"/>
          <w:divBdr>
            <w:top w:val="none" w:sz="0" w:space="0" w:color="auto"/>
            <w:left w:val="none" w:sz="0" w:space="0" w:color="auto"/>
            <w:bottom w:val="none" w:sz="0" w:space="0" w:color="auto"/>
            <w:right w:val="none" w:sz="0" w:space="0" w:color="auto"/>
          </w:divBdr>
          <w:divsChild>
            <w:div w:id="1821267290">
              <w:marLeft w:val="0"/>
              <w:marRight w:val="0"/>
              <w:marTop w:val="0"/>
              <w:marBottom w:val="0"/>
              <w:divBdr>
                <w:top w:val="none" w:sz="0" w:space="0" w:color="auto"/>
                <w:left w:val="none" w:sz="0" w:space="0" w:color="auto"/>
                <w:bottom w:val="none" w:sz="0" w:space="0" w:color="auto"/>
                <w:right w:val="none" w:sz="0" w:space="0" w:color="auto"/>
              </w:divBdr>
            </w:div>
          </w:divsChild>
        </w:div>
        <w:div w:id="1961111674">
          <w:marLeft w:val="0"/>
          <w:marRight w:val="0"/>
          <w:marTop w:val="0"/>
          <w:marBottom w:val="0"/>
          <w:divBdr>
            <w:top w:val="none" w:sz="0" w:space="0" w:color="auto"/>
            <w:left w:val="none" w:sz="0" w:space="0" w:color="auto"/>
            <w:bottom w:val="none" w:sz="0" w:space="0" w:color="auto"/>
            <w:right w:val="none" w:sz="0" w:space="0" w:color="auto"/>
          </w:divBdr>
          <w:divsChild>
            <w:div w:id="1169490246">
              <w:marLeft w:val="0"/>
              <w:marRight w:val="0"/>
              <w:marTop w:val="0"/>
              <w:marBottom w:val="0"/>
              <w:divBdr>
                <w:top w:val="none" w:sz="0" w:space="0" w:color="auto"/>
                <w:left w:val="none" w:sz="0" w:space="0" w:color="auto"/>
                <w:bottom w:val="none" w:sz="0" w:space="0" w:color="auto"/>
                <w:right w:val="none" w:sz="0" w:space="0" w:color="auto"/>
              </w:divBdr>
            </w:div>
          </w:divsChild>
        </w:div>
        <w:div w:id="2004620894">
          <w:marLeft w:val="0"/>
          <w:marRight w:val="0"/>
          <w:marTop w:val="0"/>
          <w:marBottom w:val="0"/>
          <w:divBdr>
            <w:top w:val="none" w:sz="0" w:space="0" w:color="auto"/>
            <w:left w:val="none" w:sz="0" w:space="0" w:color="auto"/>
            <w:bottom w:val="none" w:sz="0" w:space="0" w:color="auto"/>
            <w:right w:val="none" w:sz="0" w:space="0" w:color="auto"/>
          </w:divBdr>
          <w:divsChild>
            <w:div w:id="2001083754">
              <w:marLeft w:val="0"/>
              <w:marRight w:val="0"/>
              <w:marTop w:val="0"/>
              <w:marBottom w:val="0"/>
              <w:divBdr>
                <w:top w:val="none" w:sz="0" w:space="0" w:color="auto"/>
                <w:left w:val="none" w:sz="0" w:space="0" w:color="auto"/>
                <w:bottom w:val="none" w:sz="0" w:space="0" w:color="auto"/>
                <w:right w:val="none" w:sz="0" w:space="0" w:color="auto"/>
              </w:divBdr>
            </w:div>
          </w:divsChild>
        </w:div>
        <w:div w:id="2094624853">
          <w:marLeft w:val="0"/>
          <w:marRight w:val="0"/>
          <w:marTop w:val="0"/>
          <w:marBottom w:val="0"/>
          <w:divBdr>
            <w:top w:val="none" w:sz="0" w:space="0" w:color="auto"/>
            <w:left w:val="none" w:sz="0" w:space="0" w:color="auto"/>
            <w:bottom w:val="none" w:sz="0" w:space="0" w:color="auto"/>
            <w:right w:val="none" w:sz="0" w:space="0" w:color="auto"/>
          </w:divBdr>
          <w:divsChild>
            <w:div w:id="1682315836">
              <w:marLeft w:val="0"/>
              <w:marRight w:val="0"/>
              <w:marTop w:val="0"/>
              <w:marBottom w:val="0"/>
              <w:divBdr>
                <w:top w:val="none" w:sz="0" w:space="0" w:color="auto"/>
                <w:left w:val="none" w:sz="0" w:space="0" w:color="auto"/>
                <w:bottom w:val="none" w:sz="0" w:space="0" w:color="auto"/>
                <w:right w:val="none" w:sz="0" w:space="0" w:color="auto"/>
              </w:divBdr>
            </w:div>
          </w:divsChild>
        </w:div>
        <w:div w:id="2110857224">
          <w:marLeft w:val="0"/>
          <w:marRight w:val="0"/>
          <w:marTop w:val="0"/>
          <w:marBottom w:val="0"/>
          <w:divBdr>
            <w:top w:val="none" w:sz="0" w:space="0" w:color="auto"/>
            <w:left w:val="none" w:sz="0" w:space="0" w:color="auto"/>
            <w:bottom w:val="none" w:sz="0" w:space="0" w:color="auto"/>
            <w:right w:val="none" w:sz="0" w:space="0" w:color="auto"/>
          </w:divBdr>
          <w:divsChild>
            <w:div w:id="1174807901">
              <w:marLeft w:val="0"/>
              <w:marRight w:val="0"/>
              <w:marTop w:val="0"/>
              <w:marBottom w:val="0"/>
              <w:divBdr>
                <w:top w:val="none" w:sz="0" w:space="0" w:color="auto"/>
                <w:left w:val="none" w:sz="0" w:space="0" w:color="auto"/>
                <w:bottom w:val="none" w:sz="0" w:space="0" w:color="auto"/>
                <w:right w:val="none" w:sz="0" w:space="0" w:color="auto"/>
              </w:divBdr>
            </w:div>
          </w:divsChild>
        </w:div>
        <w:div w:id="2116556323">
          <w:marLeft w:val="0"/>
          <w:marRight w:val="0"/>
          <w:marTop w:val="0"/>
          <w:marBottom w:val="0"/>
          <w:divBdr>
            <w:top w:val="none" w:sz="0" w:space="0" w:color="auto"/>
            <w:left w:val="none" w:sz="0" w:space="0" w:color="auto"/>
            <w:bottom w:val="none" w:sz="0" w:space="0" w:color="auto"/>
            <w:right w:val="none" w:sz="0" w:space="0" w:color="auto"/>
          </w:divBdr>
          <w:divsChild>
            <w:div w:id="567157332">
              <w:marLeft w:val="0"/>
              <w:marRight w:val="0"/>
              <w:marTop w:val="0"/>
              <w:marBottom w:val="0"/>
              <w:divBdr>
                <w:top w:val="none" w:sz="0" w:space="0" w:color="auto"/>
                <w:left w:val="none" w:sz="0" w:space="0" w:color="auto"/>
                <w:bottom w:val="none" w:sz="0" w:space="0" w:color="auto"/>
                <w:right w:val="none" w:sz="0" w:space="0" w:color="auto"/>
              </w:divBdr>
            </w:div>
          </w:divsChild>
        </w:div>
        <w:div w:id="2120487134">
          <w:marLeft w:val="0"/>
          <w:marRight w:val="0"/>
          <w:marTop w:val="0"/>
          <w:marBottom w:val="0"/>
          <w:divBdr>
            <w:top w:val="none" w:sz="0" w:space="0" w:color="auto"/>
            <w:left w:val="none" w:sz="0" w:space="0" w:color="auto"/>
            <w:bottom w:val="none" w:sz="0" w:space="0" w:color="auto"/>
            <w:right w:val="none" w:sz="0" w:space="0" w:color="auto"/>
          </w:divBdr>
          <w:divsChild>
            <w:div w:id="790829485">
              <w:marLeft w:val="0"/>
              <w:marRight w:val="0"/>
              <w:marTop w:val="0"/>
              <w:marBottom w:val="0"/>
              <w:divBdr>
                <w:top w:val="none" w:sz="0" w:space="0" w:color="auto"/>
                <w:left w:val="none" w:sz="0" w:space="0" w:color="auto"/>
                <w:bottom w:val="none" w:sz="0" w:space="0" w:color="auto"/>
                <w:right w:val="none" w:sz="0" w:space="0" w:color="auto"/>
              </w:divBdr>
            </w:div>
          </w:divsChild>
        </w:div>
        <w:div w:id="2135713093">
          <w:marLeft w:val="0"/>
          <w:marRight w:val="0"/>
          <w:marTop w:val="0"/>
          <w:marBottom w:val="0"/>
          <w:divBdr>
            <w:top w:val="none" w:sz="0" w:space="0" w:color="auto"/>
            <w:left w:val="none" w:sz="0" w:space="0" w:color="auto"/>
            <w:bottom w:val="none" w:sz="0" w:space="0" w:color="auto"/>
            <w:right w:val="none" w:sz="0" w:space="0" w:color="auto"/>
          </w:divBdr>
          <w:divsChild>
            <w:div w:id="584462423">
              <w:marLeft w:val="0"/>
              <w:marRight w:val="0"/>
              <w:marTop w:val="0"/>
              <w:marBottom w:val="0"/>
              <w:divBdr>
                <w:top w:val="none" w:sz="0" w:space="0" w:color="auto"/>
                <w:left w:val="none" w:sz="0" w:space="0" w:color="auto"/>
                <w:bottom w:val="none" w:sz="0" w:space="0" w:color="auto"/>
                <w:right w:val="none" w:sz="0" w:space="0" w:color="auto"/>
              </w:divBdr>
            </w:div>
          </w:divsChild>
        </w:div>
        <w:div w:id="2144076209">
          <w:marLeft w:val="0"/>
          <w:marRight w:val="0"/>
          <w:marTop w:val="0"/>
          <w:marBottom w:val="0"/>
          <w:divBdr>
            <w:top w:val="none" w:sz="0" w:space="0" w:color="auto"/>
            <w:left w:val="none" w:sz="0" w:space="0" w:color="auto"/>
            <w:bottom w:val="none" w:sz="0" w:space="0" w:color="auto"/>
            <w:right w:val="none" w:sz="0" w:space="0" w:color="auto"/>
          </w:divBdr>
          <w:divsChild>
            <w:div w:id="6915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561872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FB00D3-8F39-4686-B5D3-E35E77CE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B3A03-4A4E-47ED-89A1-4FA3C2B6C8F1}">
  <ds:schemaRefs>
    <ds:schemaRef ds:uri="http://schemas.microsoft.com/sharepoint/v3/contenttype/forms"/>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050405AF-D84A-4F04-BF3E-250BAA20EF8C}">
  <ds:schemaRefs>
    <ds:schemaRef ds:uri="http://schemas.microsoft.com/office/2006/metadata/properties"/>
    <ds:schemaRef ds:uri="http://schemas.microsoft.com/office/infopath/2007/PartnerControls"/>
    <ds:schemaRef ds:uri="3786fa0e-627d-4c8f-81d4-9acfec184fed"/>
    <ds:schemaRef ds:uri="767482ae-7241-49c3-8a4f-7ce08acf9f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1900</Words>
  <Characters>10832</Characters>
  <Application>Microsoft Office Word</Application>
  <DocSecurity>0</DocSecurity>
  <Lines>90</Lines>
  <Paragraphs>25</Paragraphs>
  <ScaleCrop>false</ScaleCrop>
  <Company>Oxford City Council</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19</cp:revision>
  <cp:lastPrinted>2015-07-03T21:50:00Z</cp:lastPrinted>
  <dcterms:created xsi:type="dcterms:W3CDTF">2025-09-10T16:54:00Z</dcterms:created>
  <dcterms:modified xsi:type="dcterms:W3CDTF">2025-10-06T11:18:00Z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docLang">
    <vt:lpwstr>en</vt:lpwstr>
  </property>
</Properties>
</file>